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C616" w14:textId="749BBC60" w:rsidR="00FF0C73" w:rsidRPr="00DA420F" w:rsidRDefault="00FF0C73" w:rsidP="00FF0C73">
      <w:pPr>
        <w:jc w:val="center"/>
        <w:rPr>
          <w:b/>
          <w:strike/>
          <w:color w:val="000000"/>
          <w:lang w:val="sr-Cyrl-CS"/>
        </w:rPr>
      </w:pPr>
      <w:r w:rsidRPr="0019569E">
        <w:rPr>
          <w:b/>
          <w:color w:val="000000"/>
          <w:lang w:val="sr-Cyrl-CS"/>
        </w:rPr>
        <w:t xml:space="preserve">Технички подаци о </w:t>
      </w:r>
      <w:r w:rsidR="00DD7852" w:rsidRPr="0019569E">
        <w:rPr>
          <w:b/>
          <w:color w:val="000000"/>
          <w:lang w:val="sr-Cyrl-CS"/>
        </w:rPr>
        <w:t xml:space="preserve">Пројекту северна </w:t>
      </w:r>
      <w:r w:rsidRPr="0019569E">
        <w:rPr>
          <w:b/>
          <w:color w:val="000000"/>
          <w:lang w:val="sr-Cyrl-CS"/>
        </w:rPr>
        <w:t xml:space="preserve">обилазница око Крагујевца </w:t>
      </w:r>
    </w:p>
    <w:p w14:paraId="4DAE25BD" w14:textId="77777777" w:rsidR="00FF0C73" w:rsidRPr="0019569E" w:rsidRDefault="00FF0C73" w:rsidP="00FF0C73">
      <w:pPr>
        <w:jc w:val="both"/>
        <w:rPr>
          <w:lang w:val="sr-Latn-RS"/>
        </w:rPr>
      </w:pPr>
    </w:p>
    <w:p w14:paraId="2CEAA54B" w14:textId="77777777" w:rsidR="00162EF4" w:rsidRDefault="00162EF4" w:rsidP="00FF0C73">
      <w:pPr>
        <w:jc w:val="both"/>
        <w:rPr>
          <w:color w:val="000000"/>
          <w:lang w:val="sr-Cyrl-CS"/>
        </w:rPr>
      </w:pPr>
      <w:bookmarkStart w:id="0" w:name="OLE_LINK6"/>
      <w:bookmarkStart w:id="1" w:name="OLE_LINK5"/>
    </w:p>
    <w:p w14:paraId="40D3FBB9" w14:textId="77777777" w:rsidR="00FF0C73" w:rsidRPr="0019569E" w:rsidRDefault="00177481" w:rsidP="00FF0C73">
      <w:pPr>
        <w:jc w:val="both"/>
        <w:rPr>
          <w:color w:val="000000"/>
          <w:lang w:val="sr-Cyrl-CS"/>
        </w:rPr>
      </w:pPr>
      <w:r w:rsidRPr="0019569E">
        <w:rPr>
          <w:color w:val="000000"/>
          <w:lang w:val="sr-Cyrl-CS"/>
        </w:rPr>
        <w:t xml:space="preserve">Траса </w:t>
      </w:r>
      <w:r w:rsidR="00FF0C73" w:rsidRPr="0019569E">
        <w:rPr>
          <w:color w:val="000000"/>
          <w:lang w:val="sr-Cyrl-CS"/>
        </w:rPr>
        <w:t xml:space="preserve">будућег државног </w:t>
      </w:r>
      <w:r w:rsidR="00FF0C73" w:rsidRPr="0019569E">
        <w:rPr>
          <w:color w:val="000000"/>
          <w:lang w:val="sr-Cyrl-RS"/>
        </w:rPr>
        <w:t>коридора</w:t>
      </w:r>
      <w:r w:rsidR="00FF0C73" w:rsidRPr="0019569E">
        <w:rPr>
          <w:color w:val="000000"/>
          <w:lang w:val="sr-Cyrl-CS"/>
        </w:rPr>
        <w:t xml:space="preserve"> је од </w:t>
      </w:r>
      <w:r>
        <w:rPr>
          <w:color w:val="000000"/>
          <w:lang w:val="sr-Cyrl-CS"/>
        </w:rPr>
        <w:t xml:space="preserve">великог </w:t>
      </w:r>
      <w:r w:rsidR="00162EF4">
        <w:rPr>
          <w:color w:val="000000"/>
          <w:lang w:val="sr-Cyrl-CS"/>
        </w:rPr>
        <w:t>значаја за</w:t>
      </w:r>
      <w:r w:rsidR="00FF0C73" w:rsidRPr="0019569E">
        <w:rPr>
          <w:color w:val="000000"/>
          <w:lang w:val="sr-Cyrl-CS"/>
        </w:rPr>
        <w:t xml:space="preserve"> путн</w:t>
      </w:r>
      <w:r w:rsidR="00162EF4">
        <w:rPr>
          <w:color w:val="000000"/>
          <w:lang w:val="sr-Cyrl-CS"/>
        </w:rPr>
        <w:t>у</w:t>
      </w:r>
      <w:r w:rsidR="00FF0C73" w:rsidRPr="0019569E">
        <w:rPr>
          <w:color w:val="000000"/>
          <w:lang w:val="sr-Cyrl-CS"/>
        </w:rPr>
        <w:t xml:space="preserve"> мреж</w:t>
      </w:r>
      <w:r w:rsidR="00162EF4">
        <w:rPr>
          <w:color w:val="000000"/>
          <w:lang w:val="sr-Cyrl-CS"/>
        </w:rPr>
        <w:t>у</w:t>
      </w:r>
      <w:r w:rsidR="00FF0C73" w:rsidRPr="0019569E">
        <w:rPr>
          <w:color w:val="000000"/>
          <w:lang w:val="sr-Cyrl-CS"/>
        </w:rPr>
        <w:t xml:space="preserve"> Републике Србије. </w:t>
      </w:r>
      <w:r>
        <w:rPr>
          <w:color w:val="000000"/>
          <w:lang w:val="sr-Cyrl-CS"/>
        </w:rPr>
        <w:t>Коридор</w:t>
      </w:r>
      <w:r w:rsidR="00FF0C73" w:rsidRPr="0019569E">
        <w:rPr>
          <w:color w:val="000000"/>
          <w:lang w:val="sr-Cyrl-CS"/>
        </w:rPr>
        <w:t xml:space="preserve"> </w:t>
      </w:r>
      <w:r w:rsidR="00162EF4">
        <w:rPr>
          <w:color w:val="000000"/>
          <w:lang w:val="sr-Cyrl-CS"/>
        </w:rPr>
        <w:t xml:space="preserve">државног пута </w:t>
      </w:r>
      <w:r w:rsidR="00FF0C73" w:rsidRPr="0019569E">
        <w:rPr>
          <w:color w:val="000000"/>
          <w:lang w:val="sr-Cyrl-CS"/>
        </w:rPr>
        <w:t xml:space="preserve">је </w:t>
      </w:r>
      <w:r w:rsidR="00162EF4">
        <w:rPr>
          <w:color w:val="000000"/>
          <w:lang w:val="sr-Cyrl-CS"/>
        </w:rPr>
        <w:t>дефинисан на основу</w:t>
      </w:r>
      <w:r w:rsidR="00FF0C73" w:rsidRPr="0019569E">
        <w:rPr>
          <w:color w:val="000000"/>
          <w:lang w:val="sr-Cyrl-CS"/>
        </w:rPr>
        <w:t xml:space="preserve"> постојећ</w:t>
      </w:r>
      <w:r w:rsidR="00162EF4">
        <w:rPr>
          <w:color w:val="000000"/>
          <w:lang w:val="sr-Cyrl-CS"/>
        </w:rPr>
        <w:t>е</w:t>
      </w:r>
      <w:r w:rsidR="00FF0C73" w:rsidRPr="0019569E">
        <w:rPr>
          <w:color w:val="000000"/>
          <w:lang w:val="sr-Cyrl-CS"/>
        </w:rPr>
        <w:t xml:space="preserve"> и расположив</w:t>
      </w:r>
      <w:r w:rsidR="00162EF4">
        <w:rPr>
          <w:color w:val="000000"/>
          <w:lang w:val="sr-Cyrl-CS"/>
        </w:rPr>
        <w:t>е</w:t>
      </w:r>
      <w:r w:rsidR="00FF0C73" w:rsidRPr="0019569E">
        <w:rPr>
          <w:color w:val="000000"/>
          <w:lang w:val="sr-Cyrl-CS"/>
        </w:rPr>
        <w:t xml:space="preserve"> планск</w:t>
      </w:r>
      <w:r w:rsidR="00162EF4">
        <w:rPr>
          <w:color w:val="000000"/>
          <w:lang w:val="sr-Cyrl-CS"/>
        </w:rPr>
        <w:t>е</w:t>
      </w:r>
      <w:r w:rsidR="00FF0C73" w:rsidRPr="0019569E">
        <w:rPr>
          <w:color w:val="000000"/>
          <w:lang w:val="sr-Cyrl-CS"/>
        </w:rPr>
        <w:t xml:space="preserve"> и </w:t>
      </w:r>
      <w:r>
        <w:rPr>
          <w:color w:val="000000"/>
          <w:lang w:val="sr-Cyrl-CS"/>
        </w:rPr>
        <w:t>техничк</w:t>
      </w:r>
      <w:r w:rsidR="00162EF4">
        <w:rPr>
          <w:color w:val="000000"/>
          <w:lang w:val="sr-Cyrl-CS"/>
        </w:rPr>
        <w:t>е</w:t>
      </w:r>
      <w:r w:rsidR="00FF0C73" w:rsidRPr="0019569E">
        <w:rPr>
          <w:color w:val="000000"/>
          <w:lang w:val="sr-Cyrl-CS"/>
        </w:rPr>
        <w:t xml:space="preserve"> документациј</w:t>
      </w:r>
      <w:r w:rsidR="00162EF4">
        <w:rPr>
          <w:color w:val="000000"/>
          <w:lang w:val="sr-Cyrl-CS"/>
        </w:rPr>
        <w:t>е</w:t>
      </w:r>
      <w:r w:rsidR="00FF0C73" w:rsidRPr="0019569E">
        <w:rPr>
          <w:color w:val="000000"/>
          <w:lang w:val="sr-Cyrl-CS"/>
        </w:rPr>
        <w:t>, као и са планском документацијом која је у разради за предметн</w:t>
      </w:r>
      <w:r w:rsidR="00F329BF">
        <w:rPr>
          <w:color w:val="000000"/>
          <w:lang w:val="sr-Cyrl-CS"/>
        </w:rPr>
        <w:t>и</w:t>
      </w:r>
      <w:r w:rsidR="00FF0C73" w:rsidRPr="0019569E">
        <w:rPr>
          <w:color w:val="000000"/>
          <w:lang w:val="sr-Cyrl-CS"/>
        </w:rPr>
        <w:t xml:space="preserve"> </w:t>
      </w:r>
      <w:r w:rsidR="00F329BF">
        <w:rPr>
          <w:color w:val="000000"/>
          <w:lang w:val="sr-Cyrl-CS"/>
        </w:rPr>
        <w:t>коридор</w:t>
      </w:r>
      <w:r w:rsidR="00FF0C73" w:rsidRPr="0019569E">
        <w:rPr>
          <w:color w:val="000000"/>
          <w:lang w:val="sr-Cyrl-CS"/>
        </w:rPr>
        <w:t>.</w:t>
      </w:r>
    </w:p>
    <w:p w14:paraId="5294E293" w14:textId="1A06EEF9" w:rsidR="00011D1E" w:rsidRDefault="00011D1E" w:rsidP="00FF0C73">
      <w:pPr>
        <w:jc w:val="both"/>
        <w:rPr>
          <w:color w:val="000000"/>
          <w:lang w:val="sr-Cyrl-CS"/>
        </w:rPr>
      </w:pPr>
    </w:p>
    <w:p w14:paraId="34C4F2C7" w14:textId="77777777" w:rsidR="00011D1E" w:rsidRPr="006D4E41" w:rsidRDefault="00011D1E" w:rsidP="00011D1E">
      <w:pPr>
        <w:jc w:val="both"/>
        <w:rPr>
          <w:color w:val="000000"/>
          <w:lang w:val="sr-Cyrl-CS"/>
        </w:rPr>
      </w:pPr>
      <w:r w:rsidRPr="006D4E41">
        <w:rPr>
          <w:color w:val="000000"/>
          <w:lang w:val="sr-Cyrl-CS"/>
        </w:rPr>
        <w:t>Севернa обилазницa око Крагујевца планира се као саобраћајница дужине од око 22,2 km, која прелази преко насеља: Цветојевац, Нови Милановац, Опорница, Поскурице, Дивостин.</w:t>
      </w:r>
    </w:p>
    <w:p w14:paraId="02A279D0" w14:textId="77777777" w:rsidR="00011D1E" w:rsidRPr="0019569E" w:rsidRDefault="00011D1E" w:rsidP="00011D1E">
      <w:pPr>
        <w:jc w:val="both"/>
        <w:rPr>
          <w:color w:val="000000"/>
          <w:lang w:val="sr-Cyrl-CS"/>
        </w:rPr>
      </w:pPr>
      <w:r w:rsidRPr="006D4E41">
        <w:rPr>
          <w:color w:val="000000"/>
          <w:lang w:val="sr-Cyrl-CS"/>
        </w:rPr>
        <w:t>Северна обилазница планираном трасом повезује најзначајније улазно излазне правце: државни пут IБ реда бр. 24 Баточина-Крагујевац-Краљево, државни пут IБ реда бр. 25 Крагујевац-Топола, државни пут IIА реда бр. 177 Крагујевац-Горњи Милановац и излазни крак државног пута IБ реда бр. 24 Баточина-Крагујевац-Краљево, према Краљеву и Чачку. Обилазница почиње од 5. километра државног пута Iб реда бр.24. Крагујевац – Баточина и завршава се у месту Драгобраћа на почетку новопланираног аутопута Крагујевац – Мрчајевци.</w:t>
      </w:r>
    </w:p>
    <w:p w14:paraId="2E27D8E9" w14:textId="77777777" w:rsidR="00FF0C73" w:rsidRDefault="00FF0C73" w:rsidP="00FF0C73">
      <w:pPr>
        <w:jc w:val="both"/>
        <w:rPr>
          <w:color w:val="000000"/>
          <w:lang w:val="sr-Cyrl-CS"/>
        </w:rPr>
      </w:pPr>
    </w:p>
    <w:p w14:paraId="49B92CE7" w14:textId="77777777" w:rsidR="0019569E" w:rsidRDefault="0019569E" w:rsidP="00FF0C73">
      <w:pPr>
        <w:jc w:val="both"/>
        <w:rPr>
          <w:color w:val="000000"/>
          <w:lang w:val="sr-Cyrl-CS"/>
        </w:rPr>
      </w:pPr>
    </w:p>
    <w:p w14:paraId="5FFC649F" w14:textId="77777777" w:rsidR="0019569E" w:rsidRPr="0019569E" w:rsidRDefault="0019569E" w:rsidP="00FF0C73">
      <w:pPr>
        <w:jc w:val="both"/>
        <w:rPr>
          <w:color w:val="000000"/>
          <w:lang w:val="sr-Cyrl-CS"/>
        </w:rPr>
      </w:pPr>
    </w:p>
    <w:bookmarkEnd w:id="0"/>
    <w:bookmarkEnd w:id="1"/>
    <w:p w14:paraId="70AD0545" w14:textId="77777777" w:rsidR="00162EF4" w:rsidRDefault="00162EF4" w:rsidP="00F329BF">
      <w:pPr>
        <w:rPr>
          <w:b/>
          <w:highlight w:val="lightGray"/>
          <w:lang w:val="ru-RU"/>
        </w:rPr>
      </w:pPr>
      <w:r>
        <w:rPr>
          <w:b/>
          <w:highlight w:val="lightGray"/>
          <w:lang w:val="ru-RU"/>
        </w:rPr>
        <w:t>Дужина деонице: 22 км</w:t>
      </w:r>
    </w:p>
    <w:p w14:paraId="38B01C48" w14:textId="77777777" w:rsidR="00162EF4" w:rsidRDefault="00162EF4" w:rsidP="00F329BF">
      <w:pPr>
        <w:rPr>
          <w:b/>
          <w:highlight w:val="lightGray"/>
          <w:lang w:val="ru-RU"/>
        </w:rPr>
      </w:pPr>
    </w:p>
    <w:p w14:paraId="5739C581" w14:textId="77777777" w:rsidR="00FF0C73" w:rsidRDefault="00F329BF" w:rsidP="00F329BF">
      <w:pPr>
        <w:rPr>
          <w:b/>
          <w:lang w:val="ru-RU"/>
        </w:rPr>
      </w:pPr>
      <w:r w:rsidRPr="00F329BF">
        <w:rPr>
          <w:b/>
          <w:highlight w:val="lightGray"/>
          <w:lang w:val="ru-RU"/>
        </w:rPr>
        <w:t>Елементи попречног профила</w:t>
      </w:r>
    </w:p>
    <w:p w14:paraId="5E5ACD6A" w14:textId="77777777" w:rsidR="00162EF4" w:rsidRDefault="00162EF4" w:rsidP="00F329BF">
      <w:pPr>
        <w:rPr>
          <w:b/>
          <w:lang w:val="ru-RU"/>
        </w:rPr>
      </w:pPr>
    </w:p>
    <w:p w14:paraId="5C873665" w14:textId="77777777" w:rsidR="00F329BF" w:rsidRPr="0019569E" w:rsidRDefault="00F329BF" w:rsidP="00F329BF">
      <w:pPr>
        <w:rPr>
          <w:u w:val="single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3F4A34" w:rsidRPr="0019569E" w14:paraId="1906312E" w14:textId="77777777" w:rsidTr="00F329BF">
        <w:tc>
          <w:tcPr>
            <w:tcW w:w="3055" w:type="dxa"/>
          </w:tcPr>
          <w:p w14:paraId="4A3EA731" w14:textId="77777777" w:rsidR="003F4A34" w:rsidRPr="0019569E" w:rsidRDefault="003F4A34" w:rsidP="003F4A34">
            <w:pPr>
              <w:tabs>
                <w:tab w:val="left" w:leader="underscore" w:pos="5760"/>
              </w:tabs>
              <w:rPr>
                <w:lang w:val="sr-Cyrl-CS" w:eastAsia="sr-Latn-CS"/>
              </w:rPr>
            </w:pPr>
            <w:r w:rsidRPr="0019569E">
              <w:rPr>
                <w:lang w:val="sr-Cyrl-RS" w:eastAsia="sr-Latn-CS"/>
              </w:rPr>
              <w:t>Возне</w:t>
            </w:r>
            <w:r w:rsidRPr="0019569E">
              <w:rPr>
                <w:lang w:val="sr-Cyrl-CS" w:eastAsia="sr-Latn-CS"/>
              </w:rPr>
              <w:t xml:space="preserve"> траке </w:t>
            </w:r>
          </w:p>
        </w:tc>
        <w:tc>
          <w:tcPr>
            <w:tcW w:w="2340" w:type="dxa"/>
          </w:tcPr>
          <w:p w14:paraId="60A0EF38" w14:textId="77777777" w:rsidR="003F4A34" w:rsidRPr="0019569E" w:rsidRDefault="003F4A34" w:rsidP="003F4A34">
            <w:pPr>
              <w:tabs>
                <w:tab w:val="left" w:leader="underscore" w:pos="5760"/>
              </w:tabs>
              <w:jc w:val="center"/>
              <w:rPr>
                <w:lang w:val="sr-Cyrl-CS" w:eastAsia="sr-Latn-CS"/>
              </w:rPr>
            </w:pPr>
            <w:r w:rsidRPr="0019569E">
              <w:rPr>
                <w:lang w:eastAsia="sr-Latn-CS"/>
              </w:rPr>
              <w:t>t</w:t>
            </w:r>
            <w:r w:rsidRPr="0019569E">
              <w:rPr>
                <w:vertAlign w:val="subscript"/>
                <w:lang w:eastAsia="sr-Latn-CS"/>
              </w:rPr>
              <w:t>s</w:t>
            </w:r>
            <w:r w:rsidRPr="0019569E">
              <w:rPr>
                <w:vertAlign w:val="subscript"/>
                <w:lang w:val="ru-RU" w:eastAsia="sr-Latn-CS"/>
              </w:rPr>
              <w:t xml:space="preserve"> </w:t>
            </w:r>
            <w:r w:rsidRPr="0019569E">
              <w:rPr>
                <w:lang w:val="ru-RU" w:eastAsia="sr-Latn-CS"/>
              </w:rPr>
              <w:t xml:space="preserve">= </w:t>
            </w:r>
            <w:r w:rsidRPr="0019569E">
              <w:rPr>
                <w:lang w:val="sr-Cyrl-RS" w:eastAsia="sr-Latn-CS"/>
              </w:rPr>
              <w:t>4</w:t>
            </w:r>
            <w:r w:rsidRPr="0019569E">
              <w:rPr>
                <w:lang w:eastAsia="sr-Latn-CS"/>
              </w:rPr>
              <w:t>x</w:t>
            </w:r>
            <w:r w:rsidRPr="0019569E">
              <w:rPr>
                <w:lang w:val="sr-Cyrl-CS" w:eastAsia="sr-Latn-CS"/>
              </w:rPr>
              <w:t>3</w:t>
            </w:r>
            <w:r w:rsidRPr="0019569E">
              <w:rPr>
                <w:lang w:val="ru-RU" w:eastAsia="sr-Latn-CS"/>
              </w:rPr>
              <w:t>,</w:t>
            </w:r>
            <w:r w:rsidRPr="0019569E">
              <w:rPr>
                <w:lang w:val="sr-Cyrl-CS" w:eastAsia="sr-Latn-CS"/>
              </w:rPr>
              <w:t>50 м</w:t>
            </w:r>
          </w:p>
        </w:tc>
      </w:tr>
      <w:tr w:rsidR="003F4A34" w:rsidRPr="0019569E" w14:paraId="6EBF1019" w14:textId="77777777" w:rsidTr="00F329BF">
        <w:tc>
          <w:tcPr>
            <w:tcW w:w="3055" w:type="dxa"/>
          </w:tcPr>
          <w:p w14:paraId="1D997287" w14:textId="77777777" w:rsidR="003F4A34" w:rsidRPr="0019569E" w:rsidRDefault="003F4A34" w:rsidP="003F4A34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 xml:space="preserve">Ивичне траке </w:t>
            </w:r>
          </w:p>
        </w:tc>
        <w:tc>
          <w:tcPr>
            <w:tcW w:w="2340" w:type="dxa"/>
          </w:tcPr>
          <w:p w14:paraId="22CB5D17" w14:textId="77777777" w:rsidR="003F4A34" w:rsidRPr="0019569E" w:rsidRDefault="003F4A34" w:rsidP="003F4A34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ti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=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4x0</w:t>
            </w:r>
            <w:r w:rsidRPr="0019569E">
              <w:rPr>
                <w:lang w:val="ru-RU" w:eastAsia="sr-Latn-CS"/>
              </w:rPr>
              <w:t>,</w:t>
            </w:r>
            <w:r w:rsidRPr="0019569E">
              <w:rPr>
                <w:lang w:val="sr-Cyrl-RS" w:eastAsia="sr-Latn-CS"/>
              </w:rPr>
              <w:t>50 м</w:t>
            </w:r>
          </w:p>
        </w:tc>
      </w:tr>
      <w:tr w:rsidR="003F4A34" w:rsidRPr="0019569E" w14:paraId="386E2788" w14:textId="77777777" w:rsidTr="00F329BF">
        <w:tc>
          <w:tcPr>
            <w:tcW w:w="3055" w:type="dxa"/>
          </w:tcPr>
          <w:p w14:paraId="32D979A2" w14:textId="77777777" w:rsidR="003F4A34" w:rsidRPr="0019569E" w:rsidRDefault="003F4A34" w:rsidP="003F4A34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 xml:space="preserve">Разделна трака </w:t>
            </w:r>
          </w:p>
        </w:tc>
        <w:tc>
          <w:tcPr>
            <w:tcW w:w="2340" w:type="dxa"/>
          </w:tcPr>
          <w:p w14:paraId="5C1BFAB7" w14:textId="77777777" w:rsidR="003F4A34" w:rsidRPr="0019569E" w:rsidRDefault="003F4A34" w:rsidP="003F4A34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Rt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=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1x</w:t>
            </w:r>
            <w:r w:rsidRPr="0019569E">
              <w:rPr>
                <w:lang w:val="sr-Cyrl-CS" w:eastAsia="sr-Latn-CS"/>
              </w:rPr>
              <w:t>4</w:t>
            </w:r>
            <w:r w:rsidRPr="0019569E">
              <w:rPr>
                <w:lang w:val="ru-RU" w:eastAsia="sr-Latn-CS"/>
              </w:rPr>
              <w:t>,</w:t>
            </w:r>
            <w:r w:rsidRPr="0019569E">
              <w:rPr>
                <w:lang w:val="sr-Cyrl-RS" w:eastAsia="sr-Latn-CS"/>
              </w:rPr>
              <w:t>00 м</w:t>
            </w:r>
          </w:p>
        </w:tc>
      </w:tr>
      <w:tr w:rsidR="003F4A34" w:rsidRPr="0019569E" w14:paraId="746D5E5C" w14:textId="77777777" w:rsidTr="00F329BF">
        <w:tc>
          <w:tcPr>
            <w:tcW w:w="3055" w:type="dxa"/>
          </w:tcPr>
          <w:p w14:paraId="74EF5934" w14:textId="77777777" w:rsidR="003F4A34" w:rsidRPr="0019569E" w:rsidRDefault="003F4A34" w:rsidP="003F4A34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 xml:space="preserve">Банкине </w:t>
            </w:r>
          </w:p>
        </w:tc>
        <w:tc>
          <w:tcPr>
            <w:tcW w:w="2340" w:type="dxa"/>
          </w:tcPr>
          <w:p w14:paraId="1D3E2710" w14:textId="77777777" w:rsidR="003F4A34" w:rsidRPr="0019569E" w:rsidRDefault="003F4A34" w:rsidP="003F4A34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b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=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2x1</w:t>
            </w:r>
            <w:r w:rsidRPr="0019569E">
              <w:rPr>
                <w:lang w:val="ru-RU" w:eastAsia="sr-Latn-CS"/>
              </w:rPr>
              <w:t>,</w:t>
            </w:r>
            <w:r w:rsidRPr="0019569E">
              <w:rPr>
                <w:lang w:val="sr-Cyrl-RS" w:eastAsia="sr-Latn-CS"/>
              </w:rPr>
              <w:t>50 м</w:t>
            </w:r>
          </w:p>
        </w:tc>
      </w:tr>
      <w:tr w:rsidR="003F4A34" w:rsidRPr="0019569E" w14:paraId="366A275A" w14:textId="77777777" w:rsidTr="00F329BF">
        <w:tc>
          <w:tcPr>
            <w:tcW w:w="3055" w:type="dxa"/>
          </w:tcPr>
          <w:p w14:paraId="22C9EF8D" w14:textId="77777777" w:rsidR="003F4A34" w:rsidRPr="0019569E" w:rsidRDefault="003F4A34" w:rsidP="003F4A34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 xml:space="preserve">Уливно/изливне траке </w:t>
            </w:r>
          </w:p>
        </w:tc>
        <w:tc>
          <w:tcPr>
            <w:tcW w:w="2340" w:type="dxa"/>
          </w:tcPr>
          <w:p w14:paraId="37F7BF14" w14:textId="77777777" w:rsidR="003F4A34" w:rsidRPr="0019569E" w:rsidRDefault="003F4A34" w:rsidP="003F4A34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td/ta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=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3</w:t>
            </w:r>
            <w:r w:rsidRPr="0019569E">
              <w:rPr>
                <w:lang w:val="ru-RU" w:eastAsia="sr-Latn-CS"/>
              </w:rPr>
              <w:t>,</w:t>
            </w:r>
            <w:r w:rsidRPr="0019569E">
              <w:rPr>
                <w:lang w:val="sr-Cyrl-RS" w:eastAsia="sr-Latn-CS"/>
              </w:rPr>
              <w:t>50 м</w:t>
            </w:r>
          </w:p>
        </w:tc>
      </w:tr>
      <w:tr w:rsidR="003F4A34" w:rsidRPr="0019569E" w14:paraId="21E3B7F7" w14:textId="77777777" w:rsidTr="00F329BF">
        <w:tc>
          <w:tcPr>
            <w:tcW w:w="3055" w:type="dxa"/>
          </w:tcPr>
          <w:p w14:paraId="21746D4E" w14:textId="77777777" w:rsidR="003F4A34" w:rsidRPr="0019569E" w:rsidRDefault="003F4A34" w:rsidP="003F4A34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 xml:space="preserve">Додатне траке на нагибима </w:t>
            </w:r>
          </w:p>
        </w:tc>
        <w:tc>
          <w:tcPr>
            <w:tcW w:w="2340" w:type="dxa"/>
          </w:tcPr>
          <w:p w14:paraId="0A92195D" w14:textId="77777777" w:rsidR="003F4A34" w:rsidRPr="0019569E" w:rsidRDefault="003F4A34" w:rsidP="003F4A34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t</w:t>
            </w:r>
            <w:r w:rsidRPr="0019569E">
              <w:rPr>
                <w:lang w:eastAsia="sr-Latn-CS"/>
              </w:rPr>
              <w:t>n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=</w:t>
            </w:r>
            <w:r w:rsidRPr="0019569E">
              <w:rPr>
                <w:lang w:val="ru-RU" w:eastAsia="sr-Latn-CS"/>
              </w:rPr>
              <w:t xml:space="preserve"> </w:t>
            </w:r>
            <w:r w:rsidRPr="0019569E">
              <w:rPr>
                <w:lang w:val="sr-Cyrl-RS" w:eastAsia="sr-Latn-CS"/>
              </w:rPr>
              <w:t>3</w:t>
            </w:r>
            <w:r w:rsidRPr="0019569E">
              <w:rPr>
                <w:lang w:val="ru-RU" w:eastAsia="sr-Latn-CS"/>
              </w:rPr>
              <w:t>,</w:t>
            </w:r>
            <w:r w:rsidRPr="0019569E">
              <w:rPr>
                <w:lang w:val="sr-Cyrl-RS" w:eastAsia="sr-Latn-CS"/>
              </w:rPr>
              <w:t>50 м</w:t>
            </w:r>
          </w:p>
        </w:tc>
      </w:tr>
    </w:tbl>
    <w:p w14:paraId="38153488" w14:textId="77777777" w:rsidR="00FF0C73" w:rsidRPr="0019569E" w:rsidRDefault="00FF0C73" w:rsidP="00FF0C73">
      <w:pPr>
        <w:jc w:val="both"/>
        <w:rPr>
          <w:lang w:val="sr-Cyrl-CS"/>
        </w:rPr>
      </w:pPr>
    </w:p>
    <w:p w14:paraId="208D08EB" w14:textId="77777777" w:rsidR="003F4A34" w:rsidRPr="0019569E" w:rsidRDefault="003F4A34" w:rsidP="00FF0C73">
      <w:pPr>
        <w:jc w:val="both"/>
        <w:rPr>
          <w:lang w:val="sr-Cyrl-CS"/>
        </w:rPr>
      </w:pPr>
    </w:p>
    <w:p w14:paraId="5D9BEC19" w14:textId="77777777" w:rsidR="003F4A34" w:rsidRDefault="003F4A34" w:rsidP="00FF0C73">
      <w:pPr>
        <w:jc w:val="both"/>
        <w:rPr>
          <w:lang w:val="sr-Cyrl-CS"/>
        </w:rPr>
      </w:pPr>
    </w:p>
    <w:p w14:paraId="41BD54EC" w14:textId="77777777" w:rsidR="0019569E" w:rsidRDefault="0019569E" w:rsidP="00FF0C73">
      <w:pPr>
        <w:jc w:val="both"/>
        <w:rPr>
          <w:lang w:val="sr-Cyrl-CS"/>
        </w:rPr>
      </w:pPr>
    </w:p>
    <w:p w14:paraId="176FB369" w14:textId="77777777" w:rsidR="0019569E" w:rsidRPr="0019569E" w:rsidRDefault="00F329BF" w:rsidP="00FF0C73">
      <w:pPr>
        <w:jc w:val="both"/>
        <w:rPr>
          <w:lang w:val="sr-Cyrl-CS"/>
        </w:rPr>
      </w:pPr>
      <w:r w:rsidRPr="00F329BF">
        <w:rPr>
          <w:b/>
          <w:highlight w:val="lightGray"/>
          <w:lang w:val="ru-RU"/>
        </w:rPr>
        <w:t>Гранични елементи плана и профила</w:t>
      </w:r>
    </w:p>
    <w:p w14:paraId="3342762C" w14:textId="77777777" w:rsidR="003F4A34" w:rsidRPr="0019569E" w:rsidRDefault="003F4A34" w:rsidP="00FF0C73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19569E" w:rsidRPr="0019569E" w14:paraId="2C91975F" w14:textId="77777777" w:rsidTr="00F329BF">
        <w:tc>
          <w:tcPr>
            <w:tcW w:w="5395" w:type="dxa"/>
            <w:gridSpan w:val="2"/>
          </w:tcPr>
          <w:p w14:paraId="17BC4436" w14:textId="77777777" w:rsidR="0019569E" w:rsidRPr="0019569E" w:rsidRDefault="00F329BF" w:rsidP="0019569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Рачунска брзина </w:t>
            </w:r>
            <w:r w:rsidR="0019569E" w:rsidRPr="0019569E">
              <w:rPr>
                <w:b/>
                <w:lang w:val="ru-RU"/>
              </w:rPr>
              <w:t>Vr=100km/h</w:t>
            </w:r>
          </w:p>
        </w:tc>
      </w:tr>
      <w:tr w:rsidR="003F4A34" w:rsidRPr="0019569E" w14:paraId="6DACF8C3" w14:textId="77777777" w:rsidTr="00F329BF">
        <w:tc>
          <w:tcPr>
            <w:tcW w:w="3055" w:type="dxa"/>
          </w:tcPr>
          <w:p w14:paraId="6868E37D" w14:textId="77777777" w:rsidR="003F4A34" w:rsidRPr="0019569E" w:rsidRDefault="00C3487F" w:rsidP="00FD5899">
            <w:pPr>
              <w:tabs>
                <w:tab w:val="left" w:leader="underscore" w:pos="5760"/>
              </w:tabs>
              <w:rPr>
                <w:lang w:val="sr-Cyrl-CS" w:eastAsia="sr-Latn-CS"/>
              </w:rPr>
            </w:pPr>
            <w:r w:rsidRPr="0019569E">
              <w:rPr>
                <w:lang w:val="sr-Cyrl-CS"/>
              </w:rPr>
              <w:t xml:space="preserve">Највећа </w:t>
            </w:r>
            <w:r w:rsidR="003F4A34" w:rsidRPr="0019569E">
              <w:rPr>
                <w:lang w:val="sr-Cyrl-CS"/>
              </w:rPr>
              <w:t>дужина правца</w:t>
            </w:r>
          </w:p>
        </w:tc>
        <w:tc>
          <w:tcPr>
            <w:tcW w:w="2340" w:type="dxa"/>
          </w:tcPr>
          <w:p w14:paraId="1AEC134C" w14:textId="77777777" w:rsidR="003F4A34" w:rsidRPr="0019569E" w:rsidRDefault="00FD5899" w:rsidP="00FD5899">
            <w:pPr>
              <w:tabs>
                <w:tab w:val="left" w:leader="underscore" w:pos="5760"/>
              </w:tabs>
              <w:jc w:val="center"/>
              <w:rPr>
                <w:lang w:val="sr-Cyrl-CS" w:eastAsia="sr-Latn-CS"/>
              </w:rPr>
            </w:pPr>
            <w:r w:rsidRPr="0019569E">
              <w:t>Lmax</w:t>
            </w:r>
            <w:r w:rsidRPr="0019569E">
              <w:rPr>
                <w:lang w:val="ru-RU"/>
              </w:rPr>
              <w:t xml:space="preserve">= </w:t>
            </w:r>
            <w:r w:rsidRPr="0019569E">
              <w:rPr>
                <w:lang w:val="sr-Latn-CS"/>
              </w:rPr>
              <w:t>2.000</w:t>
            </w:r>
            <w:r w:rsidRPr="0019569E">
              <w:rPr>
                <w:lang w:val="ru-RU"/>
              </w:rPr>
              <w:t xml:space="preserve"> </w:t>
            </w:r>
            <w:r w:rsidRPr="0019569E">
              <w:t>m</w:t>
            </w:r>
          </w:p>
        </w:tc>
      </w:tr>
      <w:tr w:rsidR="00FD5899" w:rsidRPr="0019569E" w14:paraId="2B0A0381" w14:textId="77777777" w:rsidTr="00F329BF">
        <w:tc>
          <w:tcPr>
            <w:tcW w:w="3055" w:type="dxa"/>
          </w:tcPr>
          <w:p w14:paraId="1FD04CD9" w14:textId="77777777" w:rsidR="00FD5899" w:rsidRPr="0019569E" w:rsidRDefault="00FD5899" w:rsidP="00FD5899">
            <w:pPr>
              <w:tabs>
                <w:tab w:val="left" w:pos="1755"/>
              </w:tabs>
              <w:rPr>
                <w:lang w:val="sr-Cyrl-CS"/>
              </w:rPr>
            </w:pPr>
            <w:r w:rsidRPr="0019569E">
              <w:rPr>
                <w:lang w:val="sr-Cyrl-CS"/>
              </w:rPr>
              <w:t>Најмања дужина правца</w:t>
            </w:r>
          </w:p>
        </w:tc>
        <w:tc>
          <w:tcPr>
            <w:tcW w:w="2340" w:type="dxa"/>
          </w:tcPr>
          <w:p w14:paraId="1520EBFD" w14:textId="77777777" w:rsidR="00FD5899" w:rsidRPr="0019569E" w:rsidRDefault="00FD5899" w:rsidP="00C3487F">
            <w:pPr>
              <w:tabs>
                <w:tab w:val="left" w:leader="underscore" w:pos="5760"/>
              </w:tabs>
              <w:jc w:val="center"/>
            </w:pPr>
            <w:proofErr w:type="spellStart"/>
            <w:r w:rsidRPr="0019569E">
              <w:t>Lmin</w:t>
            </w:r>
            <w:proofErr w:type="spellEnd"/>
            <w:r w:rsidRPr="0019569E">
              <w:rPr>
                <w:lang w:val="ru-RU"/>
              </w:rPr>
              <w:t xml:space="preserve"> = </w:t>
            </w:r>
            <w:r w:rsidRPr="0019569E">
              <w:rPr>
                <w:lang w:val="sr-Latn-CS"/>
              </w:rPr>
              <w:t>200/400</w:t>
            </w:r>
            <w:r w:rsidRPr="0019569E">
              <w:t>m</w:t>
            </w:r>
          </w:p>
        </w:tc>
      </w:tr>
      <w:tr w:rsidR="003F4A34" w:rsidRPr="0019569E" w14:paraId="5D7744CC" w14:textId="77777777" w:rsidTr="00F329BF">
        <w:tc>
          <w:tcPr>
            <w:tcW w:w="3055" w:type="dxa"/>
          </w:tcPr>
          <w:p w14:paraId="3A35475A" w14:textId="77777777" w:rsidR="003F4A34" w:rsidRPr="0019569E" w:rsidRDefault="00C3487F" w:rsidP="00C3487F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 xml:space="preserve">Минимални </w:t>
            </w:r>
            <w:r w:rsidR="00112534" w:rsidRPr="0019569E">
              <w:rPr>
                <w:lang w:val="sr-Cyrl-RS" w:eastAsia="sr-Latn-CS"/>
              </w:rPr>
              <w:t>полупречник хоризонталних кривина</w:t>
            </w:r>
          </w:p>
        </w:tc>
        <w:tc>
          <w:tcPr>
            <w:tcW w:w="2340" w:type="dxa"/>
          </w:tcPr>
          <w:p w14:paraId="28FF1938" w14:textId="77777777" w:rsidR="003F4A34" w:rsidRPr="0019569E" w:rsidRDefault="00112534" w:rsidP="00C3487F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Rmin= 450 m</w:t>
            </w:r>
          </w:p>
        </w:tc>
      </w:tr>
      <w:tr w:rsidR="003F4A34" w:rsidRPr="0019569E" w14:paraId="2CFF6C97" w14:textId="77777777" w:rsidTr="00F329BF">
        <w:tc>
          <w:tcPr>
            <w:tcW w:w="3055" w:type="dxa"/>
          </w:tcPr>
          <w:p w14:paraId="43971C94" w14:textId="77777777" w:rsidR="003F4A34" w:rsidRPr="0019569E" w:rsidRDefault="00C3487F" w:rsidP="00C3487F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CS"/>
              </w:rPr>
              <w:t xml:space="preserve">Минимални </w:t>
            </w:r>
            <w:r w:rsidR="00112534" w:rsidRPr="0019569E">
              <w:rPr>
                <w:lang w:val="sr-Cyrl-CS"/>
              </w:rPr>
              <w:t>параметар клотоиде</w:t>
            </w:r>
          </w:p>
        </w:tc>
        <w:tc>
          <w:tcPr>
            <w:tcW w:w="2340" w:type="dxa"/>
          </w:tcPr>
          <w:p w14:paraId="173024C6" w14:textId="77777777" w:rsidR="003F4A34" w:rsidRPr="0019569E" w:rsidRDefault="00112534" w:rsidP="00C3487F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Cyrl-RS" w:eastAsia="sr-Latn-CS"/>
              </w:rPr>
              <w:t>Аmin = 195 m</w:t>
            </w:r>
          </w:p>
        </w:tc>
      </w:tr>
      <w:tr w:rsidR="003F4A34" w:rsidRPr="0019569E" w14:paraId="1BEB3A2F" w14:textId="77777777" w:rsidTr="00F329BF">
        <w:tc>
          <w:tcPr>
            <w:tcW w:w="3055" w:type="dxa"/>
          </w:tcPr>
          <w:p w14:paraId="5DF59A38" w14:textId="77777777" w:rsidR="003F4A34" w:rsidRPr="0019569E" w:rsidRDefault="00C3487F" w:rsidP="00C3487F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CS"/>
              </w:rPr>
              <w:t xml:space="preserve">Максимални </w:t>
            </w:r>
            <w:r w:rsidR="00112534" w:rsidRPr="0019569E">
              <w:rPr>
                <w:lang w:val="sr-Cyrl-CS"/>
              </w:rPr>
              <w:t>подужни нагиб</w:t>
            </w:r>
          </w:p>
        </w:tc>
        <w:tc>
          <w:tcPr>
            <w:tcW w:w="2340" w:type="dxa"/>
          </w:tcPr>
          <w:p w14:paraId="322A4D7B" w14:textId="77777777" w:rsidR="003F4A34" w:rsidRPr="0019569E" w:rsidRDefault="00112534" w:rsidP="00C3487F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Latn-CS"/>
              </w:rPr>
              <w:t>In</w:t>
            </w:r>
            <w:r w:rsidRPr="0019569E">
              <w:rPr>
                <w:lang w:val="sr-Cyrl-CS"/>
              </w:rPr>
              <w:t xml:space="preserve">max = </w:t>
            </w:r>
            <w:r w:rsidRPr="0019569E">
              <w:rPr>
                <w:lang w:val="sr-Latn-CS"/>
              </w:rPr>
              <w:t>5</w:t>
            </w:r>
            <w:r w:rsidRPr="0019569E">
              <w:rPr>
                <w:lang w:val="ru-RU"/>
              </w:rPr>
              <w:t xml:space="preserve"> </w:t>
            </w:r>
            <w:r w:rsidRPr="0019569E">
              <w:rPr>
                <w:lang w:val="sr-Cyrl-CS"/>
              </w:rPr>
              <w:t>%</w:t>
            </w:r>
          </w:p>
        </w:tc>
      </w:tr>
      <w:tr w:rsidR="003F4A34" w:rsidRPr="0019569E" w14:paraId="33317F59" w14:textId="77777777" w:rsidTr="00F329BF">
        <w:tc>
          <w:tcPr>
            <w:tcW w:w="3055" w:type="dxa"/>
          </w:tcPr>
          <w:p w14:paraId="2A23D007" w14:textId="77777777" w:rsidR="003F4A34" w:rsidRPr="0019569E" w:rsidRDefault="00C3487F" w:rsidP="00C3487F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CS"/>
              </w:rPr>
              <w:lastRenderedPageBreak/>
              <w:t xml:space="preserve">Максимални </w:t>
            </w:r>
            <w:r w:rsidR="00112534" w:rsidRPr="0019569E">
              <w:rPr>
                <w:lang w:val="sr-Cyrl-CS"/>
              </w:rPr>
              <w:t>попречни нагиб</w:t>
            </w:r>
          </w:p>
        </w:tc>
        <w:tc>
          <w:tcPr>
            <w:tcW w:w="2340" w:type="dxa"/>
          </w:tcPr>
          <w:p w14:paraId="3AF063CD" w14:textId="77777777" w:rsidR="003F4A34" w:rsidRPr="0019569E" w:rsidRDefault="00112534" w:rsidP="00C3487F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  <w:r w:rsidRPr="0019569E">
              <w:rPr>
                <w:lang w:val="sr-Latn-CS"/>
              </w:rPr>
              <w:t>Ip</w:t>
            </w:r>
            <w:r w:rsidRPr="0019569E">
              <w:rPr>
                <w:lang w:val="sr-Cyrl-CS"/>
              </w:rPr>
              <w:t>max = 7 %</w:t>
            </w:r>
          </w:p>
        </w:tc>
      </w:tr>
      <w:tr w:rsidR="003F4A34" w:rsidRPr="0019569E" w14:paraId="3A74B4EF" w14:textId="77777777" w:rsidTr="00F329BF">
        <w:tc>
          <w:tcPr>
            <w:tcW w:w="3055" w:type="dxa"/>
          </w:tcPr>
          <w:p w14:paraId="0CEF44F0" w14:textId="77777777" w:rsidR="003F4A34" w:rsidRPr="0019569E" w:rsidRDefault="00C3487F" w:rsidP="00C3487F">
            <w:pPr>
              <w:tabs>
                <w:tab w:val="left" w:leader="underscore" w:pos="5760"/>
              </w:tabs>
              <w:rPr>
                <w:lang w:val="sr-Cyrl-RS" w:eastAsia="sr-Latn-CS"/>
              </w:rPr>
            </w:pPr>
            <w:r w:rsidRPr="0019569E">
              <w:rPr>
                <w:lang w:val="sr-Cyrl-CS"/>
              </w:rPr>
              <w:t xml:space="preserve">Минимална </w:t>
            </w:r>
            <w:r w:rsidR="00112534" w:rsidRPr="0019569E">
              <w:rPr>
                <w:lang w:val="sr-Cyrl-CS"/>
              </w:rPr>
              <w:t>дужина зауставне прегледности</w:t>
            </w:r>
          </w:p>
        </w:tc>
        <w:tc>
          <w:tcPr>
            <w:tcW w:w="2340" w:type="dxa"/>
          </w:tcPr>
          <w:p w14:paraId="5234693A" w14:textId="77777777" w:rsidR="00112534" w:rsidRPr="0019569E" w:rsidRDefault="00112534" w:rsidP="00C3487F">
            <w:pPr>
              <w:jc w:val="center"/>
              <w:rPr>
                <w:lang w:val="sr-Cyrl-CS"/>
              </w:rPr>
            </w:pPr>
            <w:r w:rsidRPr="0019569E">
              <w:rPr>
                <w:lang w:val="sr-Cyrl-CS"/>
              </w:rPr>
              <w:t>Р</w:t>
            </w:r>
            <w:r w:rsidRPr="0019569E">
              <w:rPr>
                <w:lang w:val="sr-Latn-CS"/>
              </w:rPr>
              <w:t>zmin</w:t>
            </w:r>
            <w:r w:rsidRPr="0019569E">
              <w:rPr>
                <w:vertAlign w:val="subscript"/>
                <w:lang w:val="sr-Cyrl-CS"/>
              </w:rPr>
              <w:tab/>
            </w:r>
            <w:r w:rsidRPr="0019569E">
              <w:rPr>
                <w:lang w:val="ru-RU"/>
              </w:rPr>
              <w:t xml:space="preserve">= </w:t>
            </w:r>
            <w:r w:rsidRPr="0019569E">
              <w:rPr>
                <w:lang w:val="sr-Latn-CS"/>
              </w:rPr>
              <w:t>180</w:t>
            </w:r>
            <w:r w:rsidRPr="0019569E">
              <w:rPr>
                <w:lang w:val="sr-Cyrl-CS"/>
              </w:rPr>
              <w:t xml:space="preserve"> </w:t>
            </w:r>
            <w:r w:rsidRPr="0019569E">
              <w:t>m</w:t>
            </w:r>
          </w:p>
          <w:p w14:paraId="3FB5BF32" w14:textId="77777777" w:rsidR="003F4A34" w:rsidRPr="0019569E" w:rsidRDefault="003F4A34" w:rsidP="00C3487F">
            <w:pPr>
              <w:tabs>
                <w:tab w:val="left" w:leader="underscore" w:pos="5760"/>
              </w:tabs>
              <w:jc w:val="center"/>
              <w:rPr>
                <w:lang w:val="sr-Cyrl-RS" w:eastAsia="sr-Latn-CS"/>
              </w:rPr>
            </w:pPr>
          </w:p>
        </w:tc>
      </w:tr>
      <w:tr w:rsidR="00C3487F" w:rsidRPr="0019569E" w14:paraId="326589A8" w14:textId="77777777" w:rsidTr="00F329BF">
        <w:trPr>
          <w:trHeight w:val="1142"/>
        </w:trPr>
        <w:tc>
          <w:tcPr>
            <w:tcW w:w="3055" w:type="dxa"/>
            <w:vMerge w:val="restart"/>
          </w:tcPr>
          <w:p w14:paraId="2A4E1183" w14:textId="77777777" w:rsidR="00C3487F" w:rsidRPr="0019569E" w:rsidRDefault="00C3487F" w:rsidP="00C3487F">
            <w:pPr>
              <w:rPr>
                <w:lang w:val="sr-Cyrl-CS"/>
              </w:rPr>
            </w:pPr>
            <w:r w:rsidRPr="0019569E">
              <w:rPr>
                <w:lang w:val="sr-Cyrl-CS"/>
              </w:rPr>
              <w:t>Минимални полупречник вертикалног заобљења нивелете:</w:t>
            </w:r>
          </w:p>
          <w:p w14:paraId="10029C85" w14:textId="77777777" w:rsidR="00C3487F" w:rsidRPr="0019569E" w:rsidRDefault="00C3487F" w:rsidP="00C3487F">
            <w:pPr>
              <w:pStyle w:val="ListParagraph"/>
              <w:numPr>
                <w:ilvl w:val="0"/>
                <w:numId w:val="5"/>
              </w:numPr>
              <w:rPr>
                <w:lang w:val="sr-Cyrl-CS"/>
              </w:rPr>
            </w:pPr>
            <w:r w:rsidRPr="0019569E">
              <w:rPr>
                <w:lang w:val="sr-Cyrl-CS"/>
              </w:rPr>
              <w:t>конвексни преломи</w:t>
            </w:r>
          </w:p>
          <w:p w14:paraId="4F3B4A32" w14:textId="77777777" w:rsidR="00C3487F" w:rsidRPr="0019569E" w:rsidRDefault="00F329BF" w:rsidP="00C3487F">
            <w:pPr>
              <w:pStyle w:val="ListParagraph"/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конкавни преломи</w:t>
            </w:r>
          </w:p>
          <w:p w14:paraId="309A3CA0" w14:textId="77777777" w:rsidR="00C3487F" w:rsidRPr="0019569E" w:rsidRDefault="00C3487F" w:rsidP="00C3487F">
            <w:pPr>
              <w:tabs>
                <w:tab w:val="left" w:leader="underscore" w:pos="5760"/>
              </w:tabs>
              <w:rPr>
                <w:lang w:val="sr-Cyrl-CS"/>
              </w:rPr>
            </w:pPr>
          </w:p>
        </w:tc>
        <w:tc>
          <w:tcPr>
            <w:tcW w:w="2340" w:type="dxa"/>
          </w:tcPr>
          <w:p w14:paraId="2814A583" w14:textId="77777777" w:rsidR="00C3487F" w:rsidRPr="0019569E" w:rsidRDefault="00C3487F" w:rsidP="00F329BF">
            <w:pPr>
              <w:rPr>
                <w:lang w:val="sr-Cyrl-CS"/>
              </w:rPr>
            </w:pPr>
          </w:p>
          <w:p w14:paraId="3B1E4ED5" w14:textId="77777777" w:rsidR="00C3487F" w:rsidRPr="0019569E" w:rsidRDefault="00C3487F" w:rsidP="00C3487F">
            <w:pPr>
              <w:jc w:val="center"/>
              <w:rPr>
                <w:lang w:val="sr-Cyrl-CS"/>
              </w:rPr>
            </w:pPr>
          </w:p>
          <w:p w14:paraId="14C31CB8" w14:textId="77777777" w:rsidR="00F329BF" w:rsidRDefault="00F329BF" w:rsidP="00F329BF">
            <w:pPr>
              <w:jc w:val="center"/>
              <w:rPr>
                <w:lang w:val="sr-Cyrl-CS"/>
              </w:rPr>
            </w:pPr>
          </w:p>
          <w:p w14:paraId="1C31826E" w14:textId="77777777" w:rsidR="00F329BF" w:rsidRPr="0019569E" w:rsidRDefault="00C3487F" w:rsidP="00F329BF">
            <w:pPr>
              <w:jc w:val="center"/>
              <w:rPr>
                <w:lang w:val="sr-Cyrl-CS"/>
              </w:rPr>
            </w:pPr>
            <w:r w:rsidRPr="0019569E">
              <w:rPr>
                <w:lang w:val="sr-Cyrl-CS"/>
              </w:rPr>
              <w:t>Rvmin</w:t>
            </w:r>
            <w:r w:rsidRPr="0019569E">
              <w:rPr>
                <w:lang w:val="ru-RU"/>
              </w:rPr>
              <w:t xml:space="preserve"> </w:t>
            </w:r>
            <w:r w:rsidRPr="0019569E">
              <w:rPr>
                <w:lang w:val="sr-Cyrl-CS"/>
              </w:rPr>
              <w:t>=</w:t>
            </w:r>
            <w:r w:rsidRPr="0019569E">
              <w:rPr>
                <w:lang w:val="ru-RU"/>
              </w:rPr>
              <w:t xml:space="preserve"> </w:t>
            </w:r>
            <w:r w:rsidRPr="0019569E">
              <w:rPr>
                <w:lang w:val="sr-Latn-CS"/>
              </w:rPr>
              <w:t>8</w:t>
            </w:r>
            <w:r w:rsidRPr="0019569E">
              <w:rPr>
                <w:lang w:val="ru-RU"/>
              </w:rPr>
              <w:t>.</w:t>
            </w:r>
            <w:r w:rsidRPr="0019569E">
              <w:rPr>
                <w:lang w:val="sr-Latn-CS"/>
              </w:rPr>
              <w:t>0</w:t>
            </w:r>
            <w:r w:rsidRPr="0019569E">
              <w:rPr>
                <w:lang w:val="sr-Cyrl-CS"/>
              </w:rPr>
              <w:t>00 m</w:t>
            </w:r>
          </w:p>
        </w:tc>
      </w:tr>
      <w:tr w:rsidR="00112534" w:rsidRPr="0019569E" w14:paraId="3E06820D" w14:textId="77777777" w:rsidTr="00F329BF">
        <w:trPr>
          <w:trHeight w:val="260"/>
        </w:trPr>
        <w:tc>
          <w:tcPr>
            <w:tcW w:w="3055" w:type="dxa"/>
            <w:vMerge/>
          </w:tcPr>
          <w:p w14:paraId="7C5EC7BF" w14:textId="77777777" w:rsidR="00112534" w:rsidRPr="0019569E" w:rsidRDefault="00112534" w:rsidP="00112534">
            <w:pPr>
              <w:jc w:val="both"/>
              <w:rPr>
                <w:lang w:val="sr-Cyrl-CS"/>
              </w:rPr>
            </w:pPr>
          </w:p>
        </w:tc>
        <w:tc>
          <w:tcPr>
            <w:tcW w:w="2340" w:type="dxa"/>
          </w:tcPr>
          <w:p w14:paraId="5B21E2CC" w14:textId="77777777" w:rsidR="00112534" w:rsidRPr="0019569E" w:rsidRDefault="00112534" w:rsidP="00C3487F">
            <w:pPr>
              <w:jc w:val="center"/>
              <w:rPr>
                <w:lang w:val="sr-Cyrl-CS"/>
              </w:rPr>
            </w:pPr>
            <w:r w:rsidRPr="0019569E">
              <w:rPr>
                <w:lang w:val="sr-Cyrl-CS"/>
              </w:rPr>
              <w:t>Rvmin</w:t>
            </w:r>
            <w:r w:rsidRPr="0019569E">
              <w:rPr>
                <w:lang w:val="ru-RU"/>
              </w:rPr>
              <w:t xml:space="preserve"> </w:t>
            </w:r>
            <w:r w:rsidRPr="0019569E">
              <w:rPr>
                <w:lang w:val="sr-Cyrl-CS"/>
              </w:rPr>
              <w:t>=</w:t>
            </w:r>
            <w:r w:rsidRPr="0019569E">
              <w:rPr>
                <w:lang w:val="ru-RU"/>
              </w:rPr>
              <w:t xml:space="preserve"> </w:t>
            </w:r>
            <w:r w:rsidRPr="0019569E">
              <w:rPr>
                <w:lang w:val="sr-Latn-CS"/>
              </w:rPr>
              <w:t>4</w:t>
            </w:r>
            <w:r w:rsidRPr="0019569E">
              <w:rPr>
                <w:lang w:val="ru-RU"/>
              </w:rPr>
              <w:t>.25</w:t>
            </w:r>
            <w:r w:rsidRPr="0019569E">
              <w:rPr>
                <w:lang w:val="sr-Cyrl-CS"/>
              </w:rPr>
              <w:t>0 m</w:t>
            </w:r>
          </w:p>
        </w:tc>
      </w:tr>
    </w:tbl>
    <w:p w14:paraId="1AB813AD" w14:textId="77777777" w:rsidR="003F4A34" w:rsidRPr="0019569E" w:rsidRDefault="003F4A34" w:rsidP="00FF0C73">
      <w:pPr>
        <w:jc w:val="both"/>
        <w:rPr>
          <w:lang w:val="sr-Cyrl-CS"/>
        </w:rPr>
      </w:pPr>
    </w:p>
    <w:p w14:paraId="22D79D5B" w14:textId="77777777" w:rsidR="003F4A34" w:rsidRPr="0019569E" w:rsidRDefault="003F4A34" w:rsidP="00FF0C73">
      <w:pPr>
        <w:jc w:val="both"/>
        <w:rPr>
          <w:lang w:val="sr-Cyrl-CS"/>
        </w:rPr>
      </w:pPr>
    </w:p>
    <w:p w14:paraId="44BC66CD" w14:textId="77777777" w:rsidR="003F4A34" w:rsidRPr="00F329BF" w:rsidRDefault="00C3487F" w:rsidP="00F329BF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 w:rsidRPr="00F329BF">
        <w:rPr>
          <w:b/>
          <w:highlight w:val="lightGray"/>
          <w:lang w:val="sr-Cyrl-CS"/>
        </w:rPr>
        <w:t>Денивелисани укрштаји</w:t>
      </w:r>
    </w:p>
    <w:p w14:paraId="0AC0AFE6" w14:textId="77777777" w:rsidR="00FF0C73" w:rsidRPr="0019569E" w:rsidRDefault="00FF0C73" w:rsidP="00FF0C73">
      <w:pPr>
        <w:jc w:val="both"/>
        <w:rPr>
          <w:bCs/>
          <w:color w:val="000000"/>
          <w:lang w:val="sr-Cyrl-CS"/>
        </w:rPr>
      </w:pPr>
    </w:p>
    <w:p w14:paraId="1D28D3D6" w14:textId="00ABCF98" w:rsidR="00FF0C73" w:rsidRPr="0019569E" w:rsidRDefault="00FF0C73" w:rsidP="00FF0C73">
      <w:pPr>
        <w:jc w:val="both"/>
        <w:rPr>
          <w:bCs/>
          <w:color w:val="000000"/>
          <w:lang w:val="sr-Cyrl-CS"/>
        </w:rPr>
      </w:pPr>
      <w:r w:rsidRPr="0019569E">
        <w:rPr>
          <w:bCs/>
          <w:color w:val="000000"/>
          <w:lang w:val="sr-Cyrl-CS"/>
        </w:rPr>
        <w:t xml:space="preserve">На траси </w:t>
      </w:r>
      <w:r w:rsidR="00DD7852" w:rsidRPr="0019569E">
        <w:rPr>
          <w:bCs/>
          <w:color w:val="000000"/>
          <w:lang w:val="sr-Cyrl-CS"/>
        </w:rPr>
        <w:t xml:space="preserve">северне </w:t>
      </w:r>
      <w:r w:rsidRPr="0019569E">
        <w:rPr>
          <w:bCs/>
          <w:color w:val="000000"/>
          <w:lang w:val="sr-Cyrl-CS"/>
        </w:rPr>
        <w:t>обилазнице дефинисано је 5 денивелисаних укрштаја са трасама постојећих државних и општинских путева и то:</w:t>
      </w:r>
    </w:p>
    <w:p w14:paraId="425384F2" w14:textId="77777777" w:rsidR="00FF0C73" w:rsidRPr="0019569E" w:rsidRDefault="00FF0C73" w:rsidP="00FF0C73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Денивелисани укрштај „Јовановац“ (на почетку обилазнице на месту укрштаја са државним путем ДП Ib-24)</w:t>
      </w:r>
    </w:p>
    <w:p w14:paraId="19200757" w14:textId="77777777" w:rsidR="00FF0C73" w:rsidRPr="0019569E" w:rsidRDefault="00FF0C73" w:rsidP="00FF0C73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Денивелисани укрштај „Петровац“ (на ~км 4+300 на месту укрштаја са општинским путем бр.301 и будућом радном зоном)</w:t>
      </w:r>
    </w:p>
    <w:p w14:paraId="7CC65CC2" w14:textId="77777777" w:rsidR="00FF0C73" w:rsidRPr="0019569E" w:rsidRDefault="00FF0C73" w:rsidP="00FF0C73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Денивелисани укрштај „Топола“ (на ~км 8+600 на месту укрштаја са државним путем за Тополу ДП Ib-25)</w:t>
      </w:r>
    </w:p>
    <w:p w14:paraId="60E17B9B" w14:textId="77777777" w:rsidR="00FF0C73" w:rsidRPr="0019569E" w:rsidRDefault="00FF0C73" w:rsidP="00FF0C73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Денивелисани укрштај „Г. Милановац“ (на ~км 13+700 на месту укрштаја са државним путем за Г. Милановац ДП IIa-117)</w:t>
      </w:r>
    </w:p>
    <w:p w14:paraId="454FD056" w14:textId="77777777" w:rsidR="00FF0C73" w:rsidRDefault="00FF0C73" w:rsidP="00FF0C73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19569E">
        <w:rPr>
          <w:color w:val="000000"/>
          <w:lang w:val="sr-Cyrl-RS"/>
        </w:rPr>
        <w:t>Денивелисани укрштај „Драгобраћа“ (на крају деонице, на месту укрштаја са државним</w:t>
      </w:r>
      <w:r w:rsidRPr="0019569E">
        <w:rPr>
          <w:lang w:val="sr-Cyrl-RS"/>
        </w:rPr>
        <w:t xml:space="preserve"> путем ДП Ib-24)</w:t>
      </w:r>
    </w:p>
    <w:p w14:paraId="21F843B8" w14:textId="77777777" w:rsidR="00F329BF" w:rsidRDefault="00F329BF" w:rsidP="00F329BF">
      <w:pPr>
        <w:ind w:left="709"/>
        <w:jc w:val="both"/>
        <w:rPr>
          <w:lang w:val="sr-Cyrl-RS"/>
        </w:rPr>
      </w:pPr>
    </w:p>
    <w:p w14:paraId="4C4AA077" w14:textId="77777777" w:rsidR="00F329BF" w:rsidRPr="00F329BF" w:rsidRDefault="00D77BB2" w:rsidP="00F329BF">
      <w:pPr>
        <w:pStyle w:val="ListParagraph"/>
        <w:numPr>
          <w:ilvl w:val="0"/>
          <w:numId w:val="7"/>
        </w:numPr>
        <w:jc w:val="both"/>
        <w:rPr>
          <w:b/>
          <w:color w:val="000000"/>
          <w:lang w:val="sr-Cyrl-RS"/>
        </w:rPr>
      </w:pPr>
      <w:r>
        <w:rPr>
          <w:b/>
          <w:color w:val="000000"/>
          <w:highlight w:val="lightGray"/>
          <w:lang w:val="sr-Cyrl-RS"/>
        </w:rPr>
        <w:t>Мостовске конструкције</w:t>
      </w:r>
    </w:p>
    <w:p w14:paraId="65FADF07" w14:textId="77777777" w:rsidR="00F329BF" w:rsidRPr="0019569E" w:rsidRDefault="00F329BF" w:rsidP="00F329BF">
      <w:pPr>
        <w:jc w:val="both"/>
        <w:rPr>
          <w:bCs/>
          <w:color w:val="000000"/>
          <w:lang w:val="sr-Cyrl-CS"/>
        </w:rPr>
      </w:pPr>
    </w:p>
    <w:p w14:paraId="644AFBAA" w14:textId="7068C12C" w:rsidR="00F329BF" w:rsidRPr="0019569E" w:rsidRDefault="00F329BF" w:rsidP="00F329BF">
      <w:pPr>
        <w:jc w:val="both"/>
        <w:rPr>
          <w:bCs/>
          <w:color w:val="000000"/>
          <w:lang w:val="sr-Cyrl-CS"/>
        </w:rPr>
      </w:pPr>
      <w:r w:rsidRPr="0019569E">
        <w:rPr>
          <w:bCs/>
          <w:color w:val="000000"/>
          <w:lang w:val="sr-Cyrl-CS"/>
        </w:rPr>
        <w:t xml:space="preserve">На траси </w:t>
      </w:r>
      <w:r w:rsidR="00DD7852" w:rsidRPr="0019569E">
        <w:rPr>
          <w:bCs/>
          <w:color w:val="000000"/>
          <w:lang w:val="sr-Cyrl-CS"/>
        </w:rPr>
        <w:t xml:space="preserve">северне </w:t>
      </w:r>
      <w:r w:rsidRPr="0019569E">
        <w:rPr>
          <w:bCs/>
          <w:color w:val="000000"/>
          <w:lang w:val="sr-Cyrl-CS"/>
        </w:rPr>
        <w:t>обилазнице су пројектовани мостови/вијадукти на следећим стационажама:</w:t>
      </w:r>
    </w:p>
    <w:p w14:paraId="2BA586B8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Мост на основној траси, на км 0+210.00 (у оквиру петље „Јовановац“)</w:t>
      </w:r>
    </w:p>
    <w:p w14:paraId="082E1225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Мост на основној траси, на км 0+685.00 (преко девијације општинског пута бр. 325)</w:t>
      </w:r>
    </w:p>
    <w:p w14:paraId="6A7ACBFD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Натпутњак на км 3+125</w:t>
      </w:r>
    </w:p>
    <w:p w14:paraId="03F08BBF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Мост на основној траси, на км 4+275 (у оквиру петље „Петровац“ и преко општинског пута бр. 301)</w:t>
      </w:r>
    </w:p>
    <w:p w14:paraId="3E2DC1E7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Мост на петљи „Петровац“ на краку 4, на км 0+340.00</w:t>
      </w:r>
    </w:p>
    <w:p w14:paraId="7C749880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Мост на петљи „Петровац“ на краку 3, на км 0+190.00</w:t>
      </w:r>
    </w:p>
    <w:p w14:paraId="200B61AF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Вијадукт на основној траси, на км 7+525 (преко државног пута Ib реда бр.25)</w:t>
      </w:r>
    </w:p>
    <w:p w14:paraId="6FAF41BA" w14:textId="77777777" w:rsidR="00F329BF" w:rsidRPr="0019569E" w:rsidRDefault="00F329BF" w:rsidP="00F329BF">
      <w:pPr>
        <w:numPr>
          <w:ilvl w:val="0"/>
          <w:numId w:val="3"/>
        </w:numPr>
        <w:ind w:left="709" w:hanging="425"/>
        <w:jc w:val="both"/>
        <w:rPr>
          <w:color w:val="000000"/>
          <w:lang w:val="sr-Cyrl-RS"/>
        </w:rPr>
      </w:pPr>
      <w:r w:rsidRPr="0019569E">
        <w:rPr>
          <w:color w:val="000000"/>
          <w:lang w:val="sr-Cyrl-RS"/>
        </w:rPr>
        <w:t>Мост на основној траси, на км 8+1</w:t>
      </w:r>
      <w:r w:rsidRPr="0019569E">
        <w:rPr>
          <w:color w:val="000000"/>
        </w:rPr>
        <w:t>25</w:t>
      </w:r>
      <w:r w:rsidRPr="0019569E">
        <w:rPr>
          <w:color w:val="000000"/>
          <w:lang w:val="sr-Cyrl-RS"/>
        </w:rPr>
        <w:t xml:space="preserve"> (преко девијације локалног пута)</w:t>
      </w:r>
    </w:p>
    <w:p w14:paraId="31795D87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19569E">
        <w:rPr>
          <w:color w:val="000000"/>
          <w:lang w:val="sr-Cyrl-RS"/>
        </w:rPr>
        <w:t>Мост на основној траси,</w:t>
      </w:r>
      <w:bookmarkStart w:id="2" w:name="_GoBack"/>
      <w:r w:rsidRPr="0075417C">
        <w:rPr>
          <w:lang w:val="sr-Cyrl-RS"/>
        </w:rPr>
        <w:t xml:space="preserve"> на км 8+550 (у оквиру петље „Топола“)</w:t>
      </w:r>
    </w:p>
    <w:p w14:paraId="1805DFAF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Мост у оквиру девијације петље „Топола“, на км 0+</w:t>
      </w:r>
      <w:r w:rsidRPr="0075417C">
        <w:t>530</w:t>
      </w:r>
      <w:r w:rsidRPr="0075417C">
        <w:rPr>
          <w:lang w:val="sr-Cyrl-RS"/>
        </w:rPr>
        <w:t>м (преко локалног пута)</w:t>
      </w:r>
    </w:p>
    <w:p w14:paraId="3462F5AC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Вијадукт у оквиру девијације петље „Топола“, на км 1+</w:t>
      </w:r>
      <w:r w:rsidRPr="0075417C">
        <w:t>150</w:t>
      </w:r>
      <w:r w:rsidRPr="0075417C">
        <w:rPr>
          <w:lang w:val="sr-Cyrl-RS"/>
        </w:rPr>
        <w:t>м (преко Улице Јулијане Ћатић)</w:t>
      </w:r>
    </w:p>
    <w:p w14:paraId="53778AB2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Надвожњак преко основне трасе, на км 10+</w:t>
      </w:r>
      <w:r w:rsidRPr="0075417C">
        <w:t>630</w:t>
      </w:r>
      <w:r w:rsidRPr="0075417C">
        <w:rPr>
          <w:lang w:val="sr-Cyrl-RS"/>
        </w:rPr>
        <w:t xml:space="preserve"> (девијација локалног пута)</w:t>
      </w:r>
    </w:p>
    <w:p w14:paraId="2C10A5E2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lastRenderedPageBreak/>
        <w:t>Вијадукт на основној траси, на км 11+</w:t>
      </w:r>
      <w:r w:rsidRPr="0075417C">
        <w:t>320</w:t>
      </w:r>
      <w:r w:rsidRPr="0075417C">
        <w:rPr>
          <w:lang w:val="sr-Cyrl-RS"/>
        </w:rPr>
        <w:t xml:space="preserve"> (преко локалног пута)</w:t>
      </w:r>
    </w:p>
    <w:p w14:paraId="15B89310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Подвожњак на основној траси, на км 12+</w:t>
      </w:r>
      <w:r w:rsidRPr="0075417C">
        <w:t>355</w:t>
      </w:r>
      <w:r w:rsidRPr="0075417C">
        <w:rPr>
          <w:lang w:val="sr-Cyrl-RS"/>
        </w:rPr>
        <w:t>.00 (преко општинског пута бр. 312)</w:t>
      </w:r>
    </w:p>
    <w:p w14:paraId="64EE9CFC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Вијадукт на основној траси, на км 14+</w:t>
      </w:r>
      <w:r w:rsidRPr="0075417C">
        <w:t>200</w:t>
      </w:r>
      <w:r w:rsidRPr="0075417C">
        <w:rPr>
          <w:lang w:val="sr-Cyrl-RS"/>
        </w:rPr>
        <w:t xml:space="preserve"> (у оквиру петље „Горњи Милановац“ и преко државног пута IIа реда бр.177)</w:t>
      </w:r>
    </w:p>
    <w:p w14:paraId="31095706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Вијадукт у оквиру петље „Г. Милановац“, на км 0+</w:t>
      </w:r>
      <w:r w:rsidRPr="0075417C">
        <w:t>200</w:t>
      </w:r>
      <w:r w:rsidRPr="0075417C">
        <w:rPr>
          <w:lang w:val="sr-Cyrl-RS"/>
        </w:rPr>
        <w:t>м (преко водотока)</w:t>
      </w:r>
    </w:p>
    <w:p w14:paraId="4E5C5519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 xml:space="preserve">Мост на основној траси, на км </w:t>
      </w:r>
      <w:r w:rsidRPr="0075417C">
        <w:t>15</w:t>
      </w:r>
      <w:r w:rsidRPr="0075417C">
        <w:rPr>
          <w:lang w:val="sr-Cyrl-RS"/>
        </w:rPr>
        <w:t>+</w:t>
      </w:r>
      <w:r w:rsidRPr="0075417C">
        <w:t>375</w:t>
      </w:r>
      <w:r w:rsidRPr="0075417C">
        <w:rPr>
          <w:lang w:val="sr-Cyrl-RS"/>
        </w:rPr>
        <w:t xml:space="preserve"> (преко локалне депресије терена)</w:t>
      </w:r>
    </w:p>
    <w:p w14:paraId="47398AB4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Подвожњак на основној траси, на км 16+800.00 (преко девијације локалног пута)</w:t>
      </w:r>
    </w:p>
    <w:p w14:paraId="058B0771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Подвожњак на основној траси, на км 17+</w:t>
      </w:r>
      <w:r w:rsidRPr="0075417C">
        <w:t>400</w:t>
      </w:r>
      <w:r w:rsidRPr="0075417C">
        <w:rPr>
          <w:lang w:val="sr-Cyrl-RS"/>
        </w:rPr>
        <w:t>.00 (преко девијације локалног пута)</w:t>
      </w:r>
    </w:p>
    <w:p w14:paraId="41A92AAE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 xml:space="preserve">Мост на основној траси, на км </w:t>
      </w:r>
      <w:r w:rsidRPr="0075417C">
        <w:t>18</w:t>
      </w:r>
      <w:r w:rsidRPr="0075417C">
        <w:rPr>
          <w:lang w:val="sr-Cyrl-RS"/>
        </w:rPr>
        <w:t>+</w:t>
      </w:r>
      <w:r w:rsidRPr="0075417C">
        <w:t>035</w:t>
      </w:r>
      <w:r w:rsidRPr="0075417C">
        <w:rPr>
          <w:lang w:val="sr-Cyrl-RS"/>
        </w:rPr>
        <w:t xml:space="preserve"> (преко локалне депресије терена)</w:t>
      </w:r>
    </w:p>
    <w:p w14:paraId="11D72AA2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Подвожњак на основној траси, на км 1</w:t>
      </w:r>
      <w:r w:rsidRPr="0075417C">
        <w:t>9</w:t>
      </w:r>
      <w:r w:rsidRPr="0075417C">
        <w:rPr>
          <w:lang w:val="sr-Cyrl-RS"/>
        </w:rPr>
        <w:t>+</w:t>
      </w:r>
      <w:r w:rsidRPr="0075417C">
        <w:t>2</w:t>
      </w:r>
      <w:r w:rsidRPr="0075417C">
        <w:rPr>
          <w:lang w:val="sr-Cyrl-RS"/>
        </w:rPr>
        <w:t>00.00 (преко девијације локалног пута)</w:t>
      </w:r>
    </w:p>
    <w:p w14:paraId="068B3F07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 xml:space="preserve">Мост на основној траси, на км </w:t>
      </w:r>
      <w:r w:rsidRPr="0075417C">
        <w:t>20</w:t>
      </w:r>
      <w:r w:rsidRPr="0075417C">
        <w:rPr>
          <w:lang w:val="sr-Cyrl-RS"/>
        </w:rPr>
        <w:t>+</w:t>
      </w:r>
      <w:r w:rsidRPr="0075417C">
        <w:t>425</w:t>
      </w:r>
      <w:r w:rsidRPr="0075417C">
        <w:rPr>
          <w:lang w:val="sr-Cyrl-RS"/>
        </w:rPr>
        <w:t>, (у оквиру петље „Драгобраћа“)</w:t>
      </w:r>
    </w:p>
    <w:p w14:paraId="26FDAF89" w14:textId="77777777" w:rsidR="00F329BF" w:rsidRPr="0075417C" w:rsidRDefault="00F329BF" w:rsidP="00F329BF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Надвожњак преко основне трасе, на км 20+750.00 (у оквиру петље „Драгобраћа“)</w:t>
      </w:r>
    </w:p>
    <w:p w14:paraId="6D43D2E3" w14:textId="77777777" w:rsidR="00F329BF" w:rsidRPr="0075417C" w:rsidRDefault="00F329BF" w:rsidP="00FF0C73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</w:p>
    <w:p w14:paraId="5DFE508A" w14:textId="77777777" w:rsidR="00C3487F" w:rsidRPr="0075417C" w:rsidRDefault="00C3487F" w:rsidP="00C3487F">
      <w:pPr>
        <w:ind w:left="709"/>
        <w:jc w:val="both"/>
        <w:rPr>
          <w:lang w:val="sr-Cyrl-RS"/>
        </w:rPr>
      </w:pPr>
    </w:p>
    <w:p w14:paraId="0064A490" w14:textId="77777777" w:rsidR="00C3487F" w:rsidRPr="0075417C" w:rsidRDefault="00C3487F" w:rsidP="00F329BF">
      <w:pPr>
        <w:pStyle w:val="ListParagraph"/>
        <w:numPr>
          <w:ilvl w:val="0"/>
          <w:numId w:val="7"/>
        </w:numPr>
        <w:jc w:val="both"/>
        <w:rPr>
          <w:b/>
          <w:lang w:val="sr-Cyrl-RS"/>
        </w:rPr>
      </w:pPr>
      <w:r w:rsidRPr="0075417C">
        <w:rPr>
          <w:b/>
          <w:highlight w:val="lightGray"/>
          <w:lang w:val="sr-Cyrl-RS"/>
        </w:rPr>
        <w:t>Укрштаји са инфраструктурним инсталацијама</w:t>
      </w:r>
    </w:p>
    <w:p w14:paraId="3009E767" w14:textId="77777777" w:rsidR="00FF0C73" w:rsidRPr="0075417C" w:rsidRDefault="00FF0C73" w:rsidP="00FF0C73">
      <w:pPr>
        <w:jc w:val="both"/>
        <w:rPr>
          <w:bCs/>
          <w:lang w:val="sr-Cyrl-CS"/>
        </w:rPr>
      </w:pPr>
    </w:p>
    <w:p w14:paraId="06FF3204" w14:textId="77777777" w:rsidR="00FF0C73" w:rsidRPr="0075417C" w:rsidRDefault="00FF0C73" w:rsidP="00FF0C73">
      <w:pPr>
        <w:jc w:val="both"/>
        <w:rPr>
          <w:bCs/>
          <w:lang w:val="sr-Cyrl-CS"/>
        </w:rPr>
      </w:pPr>
      <w:r w:rsidRPr="0075417C">
        <w:rPr>
          <w:bCs/>
          <w:lang w:val="sr-Cyrl-CS"/>
        </w:rPr>
        <w:t>Дуж трасе будуће северне обилазнице пружају се различите инфраструктурне инсталације и укрштаји са њима, и то:</w:t>
      </w:r>
    </w:p>
    <w:p w14:paraId="072E6BEB" w14:textId="77777777" w:rsidR="00FF0C73" w:rsidRPr="0075417C" w:rsidRDefault="00FF0C73" w:rsidP="00FF0C73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Укрштаји са далеководима који су у надлежности Електродистрибуције;</w:t>
      </w:r>
    </w:p>
    <w:p w14:paraId="1AEECD25" w14:textId="77777777" w:rsidR="00FF0C73" w:rsidRPr="0075417C" w:rsidRDefault="00FF0C73" w:rsidP="00FF0C73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Укрштаји са далеководима који су у надлежности Електромрежа;</w:t>
      </w:r>
    </w:p>
    <w:p w14:paraId="5640D5D0" w14:textId="77777777" w:rsidR="00FF0C73" w:rsidRPr="0075417C" w:rsidRDefault="00FF0C73" w:rsidP="00FF0C73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Укрштаји са магистралним гасоводом;</w:t>
      </w:r>
    </w:p>
    <w:p w14:paraId="10577072" w14:textId="77777777" w:rsidR="00FF0C73" w:rsidRPr="0075417C" w:rsidRDefault="00FF0C73" w:rsidP="00FF0C73">
      <w:pPr>
        <w:numPr>
          <w:ilvl w:val="0"/>
          <w:numId w:val="3"/>
        </w:numPr>
        <w:ind w:left="709" w:hanging="425"/>
        <w:jc w:val="both"/>
        <w:rPr>
          <w:lang w:val="sr-Cyrl-RS"/>
        </w:rPr>
      </w:pPr>
      <w:r w:rsidRPr="0075417C">
        <w:rPr>
          <w:lang w:val="sr-Cyrl-RS"/>
        </w:rPr>
        <w:t>Укрштаји са телекомуникационим инсталацијама.</w:t>
      </w:r>
    </w:p>
    <w:p w14:paraId="53C26C18" w14:textId="582D6392" w:rsidR="00467A88" w:rsidRPr="0075417C" w:rsidRDefault="00467A88" w:rsidP="00FF0C73">
      <w:pPr>
        <w:autoSpaceDE w:val="0"/>
        <w:autoSpaceDN w:val="0"/>
        <w:adjustRightInd w:val="0"/>
        <w:jc w:val="both"/>
        <w:rPr>
          <w:u w:val="single"/>
          <w:lang w:val="sr-Cyrl-CS"/>
        </w:rPr>
      </w:pPr>
    </w:p>
    <w:p w14:paraId="62988CEC" w14:textId="320CE6EB" w:rsidR="00CD7627" w:rsidRPr="0075417C" w:rsidRDefault="00CD7627" w:rsidP="00CD7627">
      <w:pPr>
        <w:spacing w:before="100" w:beforeAutospacing="1" w:after="100" w:afterAutospacing="1"/>
        <w:jc w:val="both"/>
        <w:rPr>
          <w:lang w:val="sr-Cyrl-CS"/>
        </w:rPr>
      </w:pPr>
      <w:r w:rsidRPr="0075417C">
        <w:rPr>
          <w:lang w:val="sr-Cyrl-CS"/>
        </w:rPr>
        <w:t>За потребе реализације пројекта, Подносилац пријаве је у обавези да у власништву или закупу, обезбеди акредитовану лабораторију за геомеханику, бетон, челик и асфалт са обимом акредитације из Табеле 1.</w:t>
      </w:r>
    </w:p>
    <w:p w14:paraId="7ED1AF69" w14:textId="4D702717" w:rsidR="00CD7627" w:rsidRPr="0075417C" w:rsidRDefault="00CD7627" w:rsidP="00CD7627">
      <w:pPr>
        <w:spacing w:before="100" w:beforeAutospacing="1" w:after="100" w:afterAutospacing="1"/>
        <w:ind w:left="1080"/>
        <w:jc w:val="both"/>
      </w:pPr>
      <w:r w:rsidRPr="0075417C">
        <w:rPr>
          <w:lang w:val="sr-Cyrl-CS"/>
        </w:rPr>
        <w:t xml:space="preserve">Табела 1. Обим акредитације према Стандарду </w:t>
      </w:r>
      <w:r w:rsidRPr="0075417C">
        <w:t>ISO/IEC 17025:2017</w:t>
      </w:r>
    </w:p>
    <w:tbl>
      <w:tblPr>
        <w:tblStyle w:val="TableGrid1"/>
        <w:tblW w:w="8260" w:type="dxa"/>
        <w:tblInd w:w="1204" w:type="dxa"/>
        <w:tblLook w:val="04A0" w:firstRow="1" w:lastRow="0" w:firstColumn="1" w:lastColumn="0" w:noHBand="0" w:noVBand="1"/>
      </w:tblPr>
      <w:tblGrid>
        <w:gridCol w:w="456"/>
        <w:gridCol w:w="7804"/>
      </w:tblGrid>
      <w:tr w:rsidR="0075417C" w:rsidRPr="0075417C" w14:paraId="2AEE9394" w14:textId="77777777" w:rsidTr="00AB7ECC">
        <w:tc>
          <w:tcPr>
            <w:tcW w:w="8260" w:type="dxa"/>
            <w:gridSpan w:val="2"/>
          </w:tcPr>
          <w:p w14:paraId="4D4353B1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ИСПИТИВАЊЕ</w:t>
            </w:r>
          </w:p>
        </w:tc>
      </w:tr>
      <w:tr w:rsidR="0075417C" w:rsidRPr="0075417C" w14:paraId="3C9200F7" w14:textId="77777777" w:rsidTr="00AB7ECC">
        <w:tc>
          <w:tcPr>
            <w:tcW w:w="456" w:type="dxa"/>
          </w:tcPr>
          <w:p w14:paraId="1DA06C49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1</w:t>
            </w:r>
          </w:p>
        </w:tc>
        <w:tc>
          <w:tcPr>
            <w:tcW w:w="7804" w:type="dxa"/>
          </w:tcPr>
          <w:p w14:paraId="2E66E5FE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гранулометријског састава</w:t>
            </w:r>
          </w:p>
        </w:tc>
      </w:tr>
      <w:tr w:rsidR="0075417C" w:rsidRPr="0075417C" w14:paraId="60141466" w14:textId="77777777" w:rsidTr="00AB7ECC">
        <w:tc>
          <w:tcPr>
            <w:tcW w:w="456" w:type="dxa"/>
          </w:tcPr>
          <w:p w14:paraId="483BC657" w14:textId="77777777" w:rsidR="00CD7627" w:rsidRPr="0075417C" w:rsidRDefault="00CD7627" w:rsidP="00CD7627"/>
        </w:tc>
        <w:tc>
          <w:tcPr>
            <w:tcW w:w="7804" w:type="dxa"/>
          </w:tcPr>
          <w:p w14:paraId="3834E3CD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t>SRPS EN 12697-2:2016</w:t>
            </w:r>
            <w:r w:rsidRPr="0075417C">
              <w:rPr>
                <w:lang w:val="sr-Cyrl-CS"/>
              </w:rPr>
              <w:t xml:space="preserve"> и/или SRPS EN 12697-2:2019</w:t>
            </w:r>
          </w:p>
        </w:tc>
      </w:tr>
      <w:tr w:rsidR="0075417C" w:rsidRPr="0075417C" w14:paraId="32E64840" w14:textId="77777777" w:rsidTr="00AB7ECC">
        <w:tc>
          <w:tcPr>
            <w:tcW w:w="456" w:type="dxa"/>
          </w:tcPr>
          <w:p w14:paraId="7D5F8097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2</w:t>
            </w:r>
          </w:p>
        </w:tc>
        <w:tc>
          <w:tcPr>
            <w:tcW w:w="7804" w:type="dxa"/>
          </w:tcPr>
          <w:p w14:paraId="53D52481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садржаја шупљина у асфалтним узорцима</w:t>
            </w:r>
          </w:p>
        </w:tc>
      </w:tr>
      <w:tr w:rsidR="0075417C" w:rsidRPr="0075417C" w14:paraId="17345820" w14:textId="77777777" w:rsidTr="00AB7ECC">
        <w:tc>
          <w:tcPr>
            <w:tcW w:w="456" w:type="dxa"/>
          </w:tcPr>
          <w:p w14:paraId="476E7B7E" w14:textId="77777777" w:rsidR="00CD7627" w:rsidRPr="0075417C" w:rsidRDefault="00CD7627" w:rsidP="00CD7627"/>
        </w:tc>
        <w:tc>
          <w:tcPr>
            <w:tcW w:w="7804" w:type="dxa"/>
          </w:tcPr>
          <w:p w14:paraId="74846C1C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t>SRPS EN 12697-8:2011</w:t>
            </w:r>
            <w:r w:rsidRPr="0075417C">
              <w:rPr>
                <w:lang w:val="sr-Cyrl-CS"/>
              </w:rPr>
              <w:t xml:space="preserve"> и/или</w:t>
            </w:r>
            <w:r w:rsidRPr="0075417C">
              <w:t xml:space="preserve"> SRPS EN 12697-8:2019</w:t>
            </w:r>
          </w:p>
        </w:tc>
      </w:tr>
      <w:tr w:rsidR="0075417C" w:rsidRPr="0075417C" w14:paraId="42922B09" w14:textId="77777777" w:rsidTr="00AB7ECC">
        <w:tc>
          <w:tcPr>
            <w:tcW w:w="456" w:type="dxa"/>
          </w:tcPr>
          <w:p w14:paraId="4E25711B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3</w:t>
            </w:r>
          </w:p>
        </w:tc>
        <w:tc>
          <w:tcPr>
            <w:tcW w:w="7804" w:type="dxa"/>
          </w:tcPr>
          <w:p w14:paraId="0D70FC77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растворљивог удела везива</w:t>
            </w:r>
          </w:p>
        </w:tc>
      </w:tr>
      <w:tr w:rsidR="0075417C" w:rsidRPr="0075417C" w14:paraId="273967A3" w14:textId="77777777" w:rsidTr="00AB7ECC">
        <w:tc>
          <w:tcPr>
            <w:tcW w:w="456" w:type="dxa"/>
          </w:tcPr>
          <w:p w14:paraId="7C89CEE2" w14:textId="77777777" w:rsidR="00CD7627" w:rsidRPr="0075417C" w:rsidRDefault="00CD7627" w:rsidP="00CD7627"/>
        </w:tc>
        <w:tc>
          <w:tcPr>
            <w:tcW w:w="7804" w:type="dxa"/>
          </w:tcPr>
          <w:p w14:paraId="4DD2B367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t>SRPS EN 12697-1:2013</w:t>
            </w:r>
            <w:r w:rsidRPr="0075417C">
              <w:rPr>
                <w:lang w:val="sr-Cyrl-CS"/>
              </w:rPr>
              <w:t xml:space="preserve"> и/или SRPS EN 12697-1:2020</w:t>
            </w:r>
          </w:p>
        </w:tc>
      </w:tr>
      <w:tr w:rsidR="0075417C" w:rsidRPr="0075417C" w14:paraId="24671C28" w14:textId="77777777" w:rsidTr="00AB7ECC">
        <w:tc>
          <w:tcPr>
            <w:tcW w:w="456" w:type="dxa"/>
          </w:tcPr>
          <w:p w14:paraId="60499D4C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4</w:t>
            </w:r>
          </w:p>
        </w:tc>
        <w:tc>
          <w:tcPr>
            <w:tcW w:w="7804" w:type="dxa"/>
          </w:tcPr>
          <w:p w14:paraId="03245896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међусобне прионљивости агрегата и битумена</w:t>
            </w:r>
          </w:p>
        </w:tc>
      </w:tr>
      <w:tr w:rsidR="0075417C" w:rsidRPr="0075417C" w14:paraId="60A8272D" w14:textId="77777777" w:rsidTr="00AB7ECC">
        <w:tc>
          <w:tcPr>
            <w:tcW w:w="456" w:type="dxa"/>
          </w:tcPr>
          <w:p w14:paraId="22AFDDB6" w14:textId="77777777" w:rsidR="00CD7627" w:rsidRPr="0075417C" w:rsidRDefault="00CD7627" w:rsidP="00CD7627"/>
        </w:tc>
        <w:tc>
          <w:tcPr>
            <w:tcW w:w="7804" w:type="dxa"/>
          </w:tcPr>
          <w:p w14:paraId="4FD95BEB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t>SRPS EN 12697-11:2013</w:t>
            </w:r>
            <w:r w:rsidRPr="0075417C">
              <w:rPr>
                <w:lang w:val="sr-Cyrl-CS"/>
              </w:rPr>
              <w:t xml:space="preserve"> и/или SRPS EN 12697-11:2018 и/или SRPS EN 12697-11:2020</w:t>
            </w:r>
          </w:p>
        </w:tc>
      </w:tr>
      <w:tr w:rsidR="0075417C" w:rsidRPr="0075417C" w14:paraId="59DB2F83" w14:textId="77777777" w:rsidTr="00AB7ECC">
        <w:tc>
          <w:tcPr>
            <w:tcW w:w="456" w:type="dxa"/>
          </w:tcPr>
          <w:p w14:paraId="2DF3DD43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5</w:t>
            </w:r>
          </w:p>
        </w:tc>
        <w:tc>
          <w:tcPr>
            <w:tcW w:w="7804" w:type="dxa"/>
          </w:tcPr>
          <w:p w14:paraId="7F7C2D1A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дебљине асфалта</w:t>
            </w:r>
          </w:p>
        </w:tc>
      </w:tr>
      <w:tr w:rsidR="0075417C" w:rsidRPr="0075417C" w14:paraId="1F4845C7" w14:textId="77777777" w:rsidTr="00AB7ECC">
        <w:tc>
          <w:tcPr>
            <w:tcW w:w="456" w:type="dxa"/>
          </w:tcPr>
          <w:p w14:paraId="48BA922D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38869D2B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EN 12697-36:2012 и/или SRPS EN 12697-36:2022</w:t>
            </w:r>
          </w:p>
        </w:tc>
      </w:tr>
      <w:tr w:rsidR="0075417C" w:rsidRPr="0075417C" w14:paraId="1367AA2A" w14:textId="77777777" w:rsidTr="00AB7ECC">
        <w:tc>
          <w:tcPr>
            <w:tcW w:w="456" w:type="dxa"/>
          </w:tcPr>
          <w:p w14:paraId="32A99DE3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6</w:t>
            </w:r>
          </w:p>
        </w:tc>
        <w:tc>
          <w:tcPr>
            <w:tcW w:w="7804" w:type="dxa"/>
          </w:tcPr>
          <w:p w14:paraId="301AE8F4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збијености Прокторовим опитом</w:t>
            </w:r>
          </w:p>
        </w:tc>
      </w:tr>
      <w:tr w:rsidR="0075417C" w:rsidRPr="0075417C" w14:paraId="2BEE097F" w14:textId="77777777" w:rsidTr="00AB7ECC">
        <w:tc>
          <w:tcPr>
            <w:tcW w:w="456" w:type="dxa"/>
          </w:tcPr>
          <w:p w14:paraId="0AF7D8B7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61419495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EN 13286-2:2012</w:t>
            </w:r>
          </w:p>
        </w:tc>
      </w:tr>
      <w:tr w:rsidR="0075417C" w:rsidRPr="0075417C" w14:paraId="31DF151D" w14:textId="77777777" w:rsidTr="00AB7ECC">
        <w:tc>
          <w:tcPr>
            <w:tcW w:w="456" w:type="dxa"/>
          </w:tcPr>
          <w:p w14:paraId="65EF2028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7</w:t>
            </w:r>
          </w:p>
        </w:tc>
        <w:tc>
          <w:tcPr>
            <w:tcW w:w="7804" w:type="dxa"/>
          </w:tcPr>
          <w:p w14:paraId="21B18243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модула стишљивости методом кружне плоче</w:t>
            </w:r>
          </w:p>
        </w:tc>
      </w:tr>
      <w:tr w:rsidR="0075417C" w:rsidRPr="0075417C" w14:paraId="17F4D9F7" w14:textId="77777777" w:rsidTr="00AB7ECC">
        <w:tc>
          <w:tcPr>
            <w:tcW w:w="456" w:type="dxa"/>
          </w:tcPr>
          <w:p w14:paraId="5639CC08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0255283A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U.B1.046:1968 и/или SRPS U.B1.046:1969</w:t>
            </w:r>
          </w:p>
        </w:tc>
      </w:tr>
      <w:tr w:rsidR="0075417C" w:rsidRPr="0075417C" w14:paraId="7FAC0058" w14:textId="77777777" w:rsidTr="00AB7ECC">
        <w:tc>
          <w:tcPr>
            <w:tcW w:w="456" w:type="dxa"/>
          </w:tcPr>
          <w:p w14:paraId="275AA89C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8</w:t>
            </w:r>
          </w:p>
        </w:tc>
        <w:tc>
          <w:tcPr>
            <w:tcW w:w="7804" w:type="dxa"/>
          </w:tcPr>
          <w:p w14:paraId="5C0324EA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модула деформације помоћу оптерећења кружном плочом</w:t>
            </w:r>
          </w:p>
        </w:tc>
      </w:tr>
      <w:tr w:rsidR="0075417C" w:rsidRPr="0075417C" w14:paraId="2E79C1A3" w14:textId="77777777" w:rsidTr="00AB7ECC">
        <w:tc>
          <w:tcPr>
            <w:tcW w:w="456" w:type="dxa"/>
          </w:tcPr>
          <w:p w14:paraId="049619EC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0D6D2038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U.B1.047:1997</w:t>
            </w:r>
          </w:p>
        </w:tc>
      </w:tr>
      <w:tr w:rsidR="0075417C" w:rsidRPr="0075417C" w14:paraId="604CED43" w14:textId="77777777" w:rsidTr="00AB7ECC">
        <w:tc>
          <w:tcPr>
            <w:tcW w:w="456" w:type="dxa"/>
          </w:tcPr>
          <w:p w14:paraId="10065406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9</w:t>
            </w:r>
          </w:p>
        </w:tc>
        <w:tc>
          <w:tcPr>
            <w:tcW w:w="7804" w:type="dxa"/>
          </w:tcPr>
          <w:p w14:paraId="5DD21A6F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Одређивање отпорности површине на проклизавање/клизање</w:t>
            </w:r>
          </w:p>
        </w:tc>
      </w:tr>
      <w:tr w:rsidR="0075417C" w:rsidRPr="0075417C" w14:paraId="6EC8EFFD" w14:textId="77777777" w:rsidTr="00AB7ECC">
        <w:tc>
          <w:tcPr>
            <w:tcW w:w="456" w:type="dxa"/>
          </w:tcPr>
          <w:p w14:paraId="0237147C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1619972A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EN 13036-4:2012</w:t>
            </w:r>
          </w:p>
        </w:tc>
      </w:tr>
      <w:tr w:rsidR="0075417C" w:rsidRPr="0075417C" w14:paraId="422824AB" w14:textId="77777777" w:rsidTr="00AB7ECC">
        <w:tc>
          <w:tcPr>
            <w:tcW w:w="456" w:type="dxa"/>
          </w:tcPr>
          <w:p w14:paraId="2DABA390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10</w:t>
            </w:r>
          </w:p>
        </w:tc>
        <w:tc>
          <w:tcPr>
            <w:tcW w:w="7804" w:type="dxa"/>
          </w:tcPr>
          <w:p w14:paraId="2CAE9F75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Испитивање отпорности асфалта на колотраге</w:t>
            </w:r>
          </w:p>
        </w:tc>
      </w:tr>
      <w:tr w:rsidR="0075417C" w:rsidRPr="0075417C" w14:paraId="47FBE47E" w14:textId="77777777" w:rsidTr="00AB7ECC">
        <w:tc>
          <w:tcPr>
            <w:tcW w:w="456" w:type="dxa"/>
          </w:tcPr>
          <w:p w14:paraId="191393CF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1F1A1DF4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EN 12697-22:2020</w:t>
            </w:r>
          </w:p>
        </w:tc>
      </w:tr>
      <w:tr w:rsidR="0075417C" w:rsidRPr="0075417C" w14:paraId="73136C72" w14:textId="77777777" w:rsidTr="00AB7ECC">
        <w:tc>
          <w:tcPr>
            <w:tcW w:w="456" w:type="dxa"/>
          </w:tcPr>
          <w:p w14:paraId="2579A139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11</w:t>
            </w:r>
          </w:p>
        </w:tc>
        <w:tc>
          <w:tcPr>
            <w:tcW w:w="7804" w:type="dxa"/>
          </w:tcPr>
          <w:p w14:paraId="462ACD51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Испитивање мостова пробним оптерећењем</w:t>
            </w:r>
          </w:p>
        </w:tc>
      </w:tr>
      <w:tr w:rsidR="0075417C" w:rsidRPr="0075417C" w14:paraId="43F5803D" w14:textId="77777777" w:rsidTr="00AB7ECC">
        <w:tc>
          <w:tcPr>
            <w:tcW w:w="456" w:type="dxa"/>
          </w:tcPr>
          <w:p w14:paraId="4B345151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31206CAA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U.M1.046:1985</w:t>
            </w:r>
          </w:p>
        </w:tc>
      </w:tr>
      <w:tr w:rsidR="0075417C" w:rsidRPr="0075417C" w14:paraId="65275805" w14:textId="77777777" w:rsidTr="00AB7ECC">
        <w:tc>
          <w:tcPr>
            <w:tcW w:w="456" w:type="dxa"/>
          </w:tcPr>
          <w:p w14:paraId="3C456CC4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12</w:t>
            </w:r>
          </w:p>
        </w:tc>
        <w:tc>
          <w:tcPr>
            <w:tcW w:w="7804" w:type="dxa"/>
          </w:tcPr>
          <w:p w14:paraId="4E6A756B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Бетоснки челик испитивање затезањем</w:t>
            </w:r>
          </w:p>
        </w:tc>
      </w:tr>
      <w:tr w:rsidR="00CD7627" w:rsidRPr="0075417C" w14:paraId="4A597E86" w14:textId="77777777" w:rsidTr="00AB7ECC">
        <w:tc>
          <w:tcPr>
            <w:tcW w:w="456" w:type="dxa"/>
          </w:tcPr>
          <w:p w14:paraId="3168A2F7" w14:textId="77777777" w:rsidR="00CD7627" w:rsidRPr="0075417C" w:rsidRDefault="00CD7627" w:rsidP="00CD7627">
            <w:pPr>
              <w:rPr>
                <w:lang w:val="sr-Cyrl-CS"/>
              </w:rPr>
            </w:pPr>
          </w:p>
        </w:tc>
        <w:tc>
          <w:tcPr>
            <w:tcW w:w="7804" w:type="dxa"/>
          </w:tcPr>
          <w:p w14:paraId="1640ADD5" w14:textId="77777777" w:rsidR="00CD7627" w:rsidRPr="0075417C" w:rsidRDefault="00CD7627" w:rsidP="00CD7627">
            <w:pPr>
              <w:rPr>
                <w:lang w:val="sr-Cyrl-CS"/>
              </w:rPr>
            </w:pPr>
            <w:r w:rsidRPr="0075417C">
              <w:rPr>
                <w:lang w:val="sr-Cyrl-CS"/>
              </w:rPr>
              <w:t>SRPS EN ISO 15630-1:2019, t.5</w:t>
            </w:r>
          </w:p>
        </w:tc>
      </w:tr>
    </w:tbl>
    <w:p w14:paraId="3C38C1D0" w14:textId="68701463" w:rsidR="00CD7627" w:rsidRPr="0075417C" w:rsidRDefault="00CD7627" w:rsidP="00FF0C73">
      <w:pPr>
        <w:autoSpaceDE w:val="0"/>
        <w:autoSpaceDN w:val="0"/>
        <w:adjustRightInd w:val="0"/>
        <w:jc w:val="both"/>
        <w:rPr>
          <w:u w:val="single"/>
          <w:lang w:val="sr-Cyrl-CS"/>
        </w:rPr>
      </w:pPr>
    </w:p>
    <w:p w14:paraId="2ECB1346" w14:textId="77777777" w:rsidR="00CD7627" w:rsidRPr="0075417C" w:rsidRDefault="00CD7627" w:rsidP="00FF0C73">
      <w:pPr>
        <w:autoSpaceDE w:val="0"/>
        <w:autoSpaceDN w:val="0"/>
        <w:adjustRightInd w:val="0"/>
        <w:jc w:val="both"/>
        <w:rPr>
          <w:u w:val="single"/>
          <w:lang w:val="sr-Cyrl-CS"/>
        </w:rPr>
      </w:pPr>
    </w:p>
    <w:p w14:paraId="54026BD2" w14:textId="6051B39A" w:rsidR="00467A88" w:rsidRPr="0075417C" w:rsidRDefault="00162EF4" w:rsidP="00FF0C73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  <w:r w:rsidRPr="0075417C">
        <w:rPr>
          <w:b/>
          <w:u w:val="single"/>
          <w:lang w:val="sr-Cyrl-CS"/>
        </w:rPr>
        <w:t>Напомена:</w:t>
      </w:r>
    </w:p>
    <w:p w14:paraId="3963F370" w14:textId="77777777" w:rsidR="002D49F6" w:rsidRPr="0075417C" w:rsidRDefault="002D49F6" w:rsidP="00FF0C73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</w:p>
    <w:p w14:paraId="7BEF4D00" w14:textId="77777777" w:rsidR="00FF0C73" w:rsidRPr="0075417C" w:rsidRDefault="00162EF4" w:rsidP="00FF0C73">
      <w:pPr>
        <w:autoSpaceDE w:val="0"/>
        <w:autoSpaceDN w:val="0"/>
        <w:adjustRightInd w:val="0"/>
        <w:jc w:val="both"/>
        <w:rPr>
          <w:lang w:val="sr-Cyrl-CS"/>
        </w:rPr>
      </w:pPr>
      <w:r w:rsidRPr="0075417C">
        <w:rPr>
          <w:lang w:val="sr-Cyrl-CS"/>
        </w:rPr>
        <w:t>Расположива планска и техничка до</w:t>
      </w:r>
      <w:r w:rsidR="00011D1E" w:rsidRPr="0075417C">
        <w:rPr>
          <w:lang w:val="sr-Cyrl-CS"/>
        </w:rPr>
        <w:t>кументација је доступна на увид</w:t>
      </w:r>
      <w:r w:rsidRPr="0075417C">
        <w:rPr>
          <w:lang w:val="sr-Cyrl-CS"/>
        </w:rPr>
        <w:t>, уз претходну најаву, код Инвеститора ЈП Путеви Србије.</w:t>
      </w:r>
    </w:p>
    <w:p w14:paraId="2669E08E" w14:textId="77777777" w:rsidR="00162EF4" w:rsidRPr="0075417C" w:rsidRDefault="00162EF4" w:rsidP="00FF0C73">
      <w:pPr>
        <w:autoSpaceDE w:val="0"/>
        <w:autoSpaceDN w:val="0"/>
        <w:adjustRightInd w:val="0"/>
        <w:jc w:val="both"/>
        <w:rPr>
          <w:lang w:val="sr-Cyrl-CS"/>
        </w:rPr>
      </w:pPr>
    </w:p>
    <w:bookmarkEnd w:id="2"/>
    <w:p w14:paraId="46D85C43" w14:textId="77777777" w:rsidR="00162EF4" w:rsidRDefault="00162EF4" w:rsidP="00FF0C73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14:paraId="7558446A" w14:textId="77777777" w:rsidR="00162EF4" w:rsidRDefault="00162EF4" w:rsidP="00FF0C73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14:paraId="56457AB0" w14:textId="77777777" w:rsidR="00FF0C73" w:rsidRPr="0019569E" w:rsidRDefault="00FF0C73" w:rsidP="00FF0C73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14:paraId="4280863B" w14:textId="77777777" w:rsidR="00663241" w:rsidRPr="0019569E" w:rsidRDefault="00663241"/>
    <w:sectPr w:rsidR="00663241" w:rsidRPr="0019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742B"/>
    <w:multiLevelType w:val="hybridMultilevel"/>
    <w:tmpl w:val="D6CE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FE1"/>
    <w:multiLevelType w:val="hybridMultilevel"/>
    <w:tmpl w:val="1B90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D55B3"/>
    <w:multiLevelType w:val="hybridMultilevel"/>
    <w:tmpl w:val="A1C46F1E"/>
    <w:lvl w:ilvl="0" w:tplc="231A10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50763"/>
    <w:multiLevelType w:val="hybridMultilevel"/>
    <w:tmpl w:val="4282EE80"/>
    <w:lvl w:ilvl="0" w:tplc="47C00C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B7C4FB7"/>
    <w:multiLevelType w:val="hybridMultilevel"/>
    <w:tmpl w:val="C7CC968E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C0E2762"/>
    <w:multiLevelType w:val="hybridMultilevel"/>
    <w:tmpl w:val="1F72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36CBA"/>
    <w:multiLevelType w:val="hybridMultilevel"/>
    <w:tmpl w:val="5DC0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A280C"/>
    <w:multiLevelType w:val="hybridMultilevel"/>
    <w:tmpl w:val="0DF6DA90"/>
    <w:lvl w:ilvl="0" w:tplc="11C63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73"/>
    <w:rsid w:val="00003D3B"/>
    <w:rsid w:val="00011D1E"/>
    <w:rsid w:val="000123FE"/>
    <w:rsid w:val="00020BAA"/>
    <w:rsid w:val="00021449"/>
    <w:rsid w:val="00022EB3"/>
    <w:rsid w:val="00032857"/>
    <w:rsid w:val="00034945"/>
    <w:rsid w:val="00034B74"/>
    <w:rsid w:val="0005188A"/>
    <w:rsid w:val="00054946"/>
    <w:rsid w:val="00055153"/>
    <w:rsid w:val="000563D9"/>
    <w:rsid w:val="000720FE"/>
    <w:rsid w:val="00074689"/>
    <w:rsid w:val="0008140F"/>
    <w:rsid w:val="000A3744"/>
    <w:rsid w:val="000B146C"/>
    <w:rsid w:val="000C4180"/>
    <w:rsid w:val="000D1AEE"/>
    <w:rsid w:val="000D729D"/>
    <w:rsid w:val="00106D11"/>
    <w:rsid w:val="00112534"/>
    <w:rsid w:val="00121FA8"/>
    <w:rsid w:val="00124838"/>
    <w:rsid w:val="00162429"/>
    <w:rsid w:val="00162EF4"/>
    <w:rsid w:val="001674CF"/>
    <w:rsid w:val="0017422E"/>
    <w:rsid w:val="00177481"/>
    <w:rsid w:val="001776FC"/>
    <w:rsid w:val="001906AD"/>
    <w:rsid w:val="00194FEC"/>
    <w:rsid w:val="001953D0"/>
    <w:rsid w:val="0019569E"/>
    <w:rsid w:val="0019591F"/>
    <w:rsid w:val="001A1B23"/>
    <w:rsid w:val="001B734A"/>
    <w:rsid w:val="001D1776"/>
    <w:rsid w:val="001E177B"/>
    <w:rsid w:val="001E74F3"/>
    <w:rsid w:val="00205292"/>
    <w:rsid w:val="002146CF"/>
    <w:rsid w:val="002164BA"/>
    <w:rsid w:val="00223EE2"/>
    <w:rsid w:val="00225692"/>
    <w:rsid w:val="002458F7"/>
    <w:rsid w:val="00253108"/>
    <w:rsid w:val="0025561B"/>
    <w:rsid w:val="0026113A"/>
    <w:rsid w:val="00265775"/>
    <w:rsid w:val="002658B0"/>
    <w:rsid w:val="00272F20"/>
    <w:rsid w:val="00276669"/>
    <w:rsid w:val="002A36E5"/>
    <w:rsid w:val="002C44FE"/>
    <w:rsid w:val="002C69A5"/>
    <w:rsid w:val="002D3214"/>
    <w:rsid w:val="002D49F6"/>
    <w:rsid w:val="002E7861"/>
    <w:rsid w:val="002F6E0E"/>
    <w:rsid w:val="0032226F"/>
    <w:rsid w:val="00331923"/>
    <w:rsid w:val="00346B1D"/>
    <w:rsid w:val="00350221"/>
    <w:rsid w:val="003544BD"/>
    <w:rsid w:val="00361547"/>
    <w:rsid w:val="00361722"/>
    <w:rsid w:val="0038422F"/>
    <w:rsid w:val="003851A8"/>
    <w:rsid w:val="003961D9"/>
    <w:rsid w:val="003A3DF9"/>
    <w:rsid w:val="003A3DFD"/>
    <w:rsid w:val="003B3660"/>
    <w:rsid w:val="003D183A"/>
    <w:rsid w:val="003D4FC6"/>
    <w:rsid w:val="003F4A34"/>
    <w:rsid w:val="0040407F"/>
    <w:rsid w:val="004153F2"/>
    <w:rsid w:val="00415F09"/>
    <w:rsid w:val="00420043"/>
    <w:rsid w:val="00422384"/>
    <w:rsid w:val="004268FC"/>
    <w:rsid w:val="004321A7"/>
    <w:rsid w:val="004401B0"/>
    <w:rsid w:val="0045386A"/>
    <w:rsid w:val="004541F6"/>
    <w:rsid w:val="00467A88"/>
    <w:rsid w:val="0048475E"/>
    <w:rsid w:val="00490244"/>
    <w:rsid w:val="00495C2B"/>
    <w:rsid w:val="004A7FAB"/>
    <w:rsid w:val="004B0846"/>
    <w:rsid w:val="004B2CDA"/>
    <w:rsid w:val="004B5253"/>
    <w:rsid w:val="004C36BF"/>
    <w:rsid w:val="004C6589"/>
    <w:rsid w:val="004D69E7"/>
    <w:rsid w:val="004F12EB"/>
    <w:rsid w:val="005101E8"/>
    <w:rsid w:val="0051048D"/>
    <w:rsid w:val="00512944"/>
    <w:rsid w:val="00525F93"/>
    <w:rsid w:val="00551345"/>
    <w:rsid w:val="00553D5F"/>
    <w:rsid w:val="00564CF5"/>
    <w:rsid w:val="00566D7E"/>
    <w:rsid w:val="005810C1"/>
    <w:rsid w:val="00593AFA"/>
    <w:rsid w:val="0059424C"/>
    <w:rsid w:val="005967D4"/>
    <w:rsid w:val="005A58A8"/>
    <w:rsid w:val="005B0BE6"/>
    <w:rsid w:val="005B5D91"/>
    <w:rsid w:val="005B6AE7"/>
    <w:rsid w:val="005C4562"/>
    <w:rsid w:val="005D0449"/>
    <w:rsid w:val="00603E17"/>
    <w:rsid w:val="006078CC"/>
    <w:rsid w:val="00611F60"/>
    <w:rsid w:val="00613A59"/>
    <w:rsid w:val="0062047B"/>
    <w:rsid w:val="00626965"/>
    <w:rsid w:val="0063669F"/>
    <w:rsid w:val="0064704B"/>
    <w:rsid w:val="00647BC7"/>
    <w:rsid w:val="006534EC"/>
    <w:rsid w:val="006605DA"/>
    <w:rsid w:val="00663241"/>
    <w:rsid w:val="0066773E"/>
    <w:rsid w:val="00673DE9"/>
    <w:rsid w:val="006837FF"/>
    <w:rsid w:val="006847A3"/>
    <w:rsid w:val="00687C9E"/>
    <w:rsid w:val="0069354E"/>
    <w:rsid w:val="0069778D"/>
    <w:rsid w:val="006A051D"/>
    <w:rsid w:val="006B4167"/>
    <w:rsid w:val="006D4E41"/>
    <w:rsid w:val="006D6744"/>
    <w:rsid w:val="006E25CA"/>
    <w:rsid w:val="006F6295"/>
    <w:rsid w:val="00706617"/>
    <w:rsid w:val="007336A3"/>
    <w:rsid w:val="0073724F"/>
    <w:rsid w:val="00741E8A"/>
    <w:rsid w:val="0075126F"/>
    <w:rsid w:val="0075417C"/>
    <w:rsid w:val="00756CC5"/>
    <w:rsid w:val="00767B51"/>
    <w:rsid w:val="00775AE8"/>
    <w:rsid w:val="007830BF"/>
    <w:rsid w:val="007A175C"/>
    <w:rsid w:val="007A2365"/>
    <w:rsid w:val="007A4BF3"/>
    <w:rsid w:val="007C7909"/>
    <w:rsid w:val="007D482E"/>
    <w:rsid w:val="007D61B3"/>
    <w:rsid w:val="007E0F75"/>
    <w:rsid w:val="007E31B8"/>
    <w:rsid w:val="007E5502"/>
    <w:rsid w:val="008075FC"/>
    <w:rsid w:val="008154AD"/>
    <w:rsid w:val="0081676A"/>
    <w:rsid w:val="00822D41"/>
    <w:rsid w:val="00831DAF"/>
    <w:rsid w:val="0083305A"/>
    <w:rsid w:val="00836BC8"/>
    <w:rsid w:val="00841574"/>
    <w:rsid w:val="00874964"/>
    <w:rsid w:val="00875B42"/>
    <w:rsid w:val="00880CEB"/>
    <w:rsid w:val="00881276"/>
    <w:rsid w:val="008B5072"/>
    <w:rsid w:val="008C4ACB"/>
    <w:rsid w:val="008C72E3"/>
    <w:rsid w:val="008D0228"/>
    <w:rsid w:val="008D63BC"/>
    <w:rsid w:val="008D7991"/>
    <w:rsid w:val="008F7918"/>
    <w:rsid w:val="00907BC5"/>
    <w:rsid w:val="0091022D"/>
    <w:rsid w:val="00910F17"/>
    <w:rsid w:val="0092161C"/>
    <w:rsid w:val="00923E00"/>
    <w:rsid w:val="00930A67"/>
    <w:rsid w:val="009434BF"/>
    <w:rsid w:val="00946029"/>
    <w:rsid w:val="009469FE"/>
    <w:rsid w:val="0095020F"/>
    <w:rsid w:val="009558C7"/>
    <w:rsid w:val="00957B46"/>
    <w:rsid w:val="0096180D"/>
    <w:rsid w:val="00970F39"/>
    <w:rsid w:val="00973B2B"/>
    <w:rsid w:val="00984B8E"/>
    <w:rsid w:val="009930B9"/>
    <w:rsid w:val="009954C5"/>
    <w:rsid w:val="009B1860"/>
    <w:rsid w:val="009C4EA7"/>
    <w:rsid w:val="009C6F0F"/>
    <w:rsid w:val="009E380E"/>
    <w:rsid w:val="009E622D"/>
    <w:rsid w:val="009E675C"/>
    <w:rsid w:val="009F1EEF"/>
    <w:rsid w:val="009F2150"/>
    <w:rsid w:val="009F2861"/>
    <w:rsid w:val="00A04C32"/>
    <w:rsid w:val="00A13BF9"/>
    <w:rsid w:val="00A22349"/>
    <w:rsid w:val="00A327EC"/>
    <w:rsid w:val="00A40FFE"/>
    <w:rsid w:val="00A61B0A"/>
    <w:rsid w:val="00A659F0"/>
    <w:rsid w:val="00A70EB0"/>
    <w:rsid w:val="00A83D79"/>
    <w:rsid w:val="00A87E3F"/>
    <w:rsid w:val="00AA333F"/>
    <w:rsid w:val="00AB6E92"/>
    <w:rsid w:val="00AC72DA"/>
    <w:rsid w:val="00AE154F"/>
    <w:rsid w:val="00AE37AF"/>
    <w:rsid w:val="00AE5381"/>
    <w:rsid w:val="00AE7B3A"/>
    <w:rsid w:val="00AF2105"/>
    <w:rsid w:val="00B100B8"/>
    <w:rsid w:val="00B24D86"/>
    <w:rsid w:val="00B44F46"/>
    <w:rsid w:val="00B4663A"/>
    <w:rsid w:val="00B55CF7"/>
    <w:rsid w:val="00B56643"/>
    <w:rsid w:val="00B6709C"/>
    <w:rsid w:val="00B7539F"/>
    <w:rsid w:val="00B762F2"/>
    <w:rsid w:val="00B82488"/>
    <w:rsid w:val="00B86BBF"/>
    <w:rsid w:val="00B87C68"/>
    <w:rsid w:val="00BA3F3A"/>
    <w:rsid w:val="00BA6B62"/>
    <w:rsid w:val="00BB4FA4"/>
    <w:rsid w:val="00BC7762"/>
    <w:rsid w:val="00BD5FF9"/>
    <w:rsid w:val="00BE5CAD"/>
    <w:rsid w:val="00C146F3"/>
    <w:rsid w:val="00C16D0F"/>
    <w:rsid w:val="00C17B51"/>
    <w:rsid w:val="00C201D5"/>
    <w:rsid w:val="00C2420F"/>
    <w:rsid w:val="00C3487F"/>
    <w:rsid w:val="00C35221"/>
    <w:rsid w:val="00C35E7C"/>
    <w:rsid w:val="00C367FE"/>
    <w:rsid w:val="00C56EB9"/>
    <w:rsid w:val="00C65EA2"/>
    <w:rsid w:val="00C727D8"/>
    <w:rsid w:val="00C7782F"/>
    <w:rsid w:val="00C964DC"/>
    <w:rsid w:val="00CA0DF1"/>
    <w:rsid w:val="00CA6225"/>
    <w:rsid w:val="00CD1D12"/>
    <w:rsid w:val="00CD46BB"/>
    <w:rsid w:val="00CD7627"/>
    <w:rsid w:val="00CE2DEA"/>
    <w:rsid w:val="00CE3299"/>
    <w:rsid w:val="00CE5367"/>
    <w:rsid w:val="00CE57ED"/>
    <w:rsid w:val="00CF61BA"/>
    <w:rsid w:val="00D05BA7"/>
    <w:rsid w:val="00D316FE"/>
    <w:rsid w:val="00D46179"/>
    <w:rsid w:val="00D5616C"/>
    <w:rsid w:val="00D6373F"/>
    <w:rsid w:val="00D70822"/>
    <w:rsid w:val="00D77BB2"/>
    <w:rsid w:val="00DA420F"/>
    <w:rsid w:val="00DA46A9"/>
    <w:rsid w:val="00DB2FD5"/>
    <w:rsid w:val="00DD7852"/>
    <w:rsid w:val="00DE2B35"/>
    <w:rsid w:val="00E24284"/>
    <w:rsid w:val="00E24C83"/>
    <w:rsid w:val="00E2541E"/>
    <w:rsid w:val="00E27D97"/>
    <w:rsid w:val="00E42A09"/>
    <w:rsid w:val="00E50C22"/>
    <w:rsid w:val="00E50DBE"/>
    <w:rsid w:val="00E56509"/>
    <w:rsid w:val="00E72A6C"/>
    <w:rsid w:val="00E75310"/>
    <w:rsid w:val="00E767D6"/>
    <w:rsid w:val="00E84F84"/>
    <w:rsid w:val="00EB2B3F"/>
    <w:rsid w:val="00EB6B24"/>
    <w:rsid w:val="00EC3727"/>
    <w:rsid w:val="00EC67A8"/>
    <w:rsid w:val="00ED740D"/>
    <w:rsid w:val="00EE30BE"/>
    <w:rsid w:val="00EF1794"/>
    <w:rsid w:val="00F22071"/>
    <w:rsid w:val="00F329BF"/>
    <w:rsid w:val="00F37482"/>
    <w:rsid w:val="00F429D9"/>
    <w:rsid w:val="00F51906"/>
    <w:rsid w:val="00F54134"/>
    <w:rsid w:val="00F7364A"/>
    <w:rsid w:val="00F900EB"/>
    <w:rsid w:val="00F907D3"/>
    <w:rsid w:val="00F92C17"/>
    <w:rsid w:val="00FA76D0"/>
    <w:rsid w:val="00FB13A8"/>
    <w:rsid w:val="00FD5899"/>
    <w:rsid w:val="00FE79A6"/>
    <w:rsid w:val="00FF0594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CE9"/>
  <w15:chartTrackingRefBased/>
  <w15:docId w15:val="{62B976C5-2C41-4045-A577-159EB798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69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1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D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D1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D1E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Vuksanovic</dc:creator>
  <cp:keywords/>
  <dc:description/>
  <cp:lastModifiedBy>Jelena Lukić</cp:lastModifiedBy>
  <cp:revision>5</cp:revision>
  <cp:lastPrinted>2021-12-23T10:48:00Z</cp:lastPrinted>
  <dcterms:created xsi:type="dcterms:W3CDTF">2021-12-30T09:51:00Z</dcterms:created>
  <dcterms:modified xsi:type="dcterms:W3CDTF">2023-05-04T09:34:00Z</dcterms:modified>
</cp:coreProperties>
</file>