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34" w:rsidRDefault="00BF0035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56.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пловидби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73/10, 121/12, 18/15, 96/15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92/16 и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132134" w:rsidRDefault="00BF0035">
      <w:pPr>
        <w:spacing w:after="225"/>
        <w:jc w:val="center"/>
      </w:pPr>
      <w:r>
        <w:rPr>
          <w:b/>
          <w:color w:val="000000"/>
        </w:rPr>
        <w:t>ПРАВИЛНИК</w:t>
      </w:r>
    </w:p>
    <w:p w:rsidR="00132134" w:rsidRDefault="00BF0035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распреми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брода</w:t>
      </w:r>
      <w:proofErr w:type="spellEnd"/>
    </w:p>
    <w:p w:rsidR="00132134" w:rsidRDefault="00BF0035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2017.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Oвим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прaвилникoм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прoписуjу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сидрење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сигурност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2.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технички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капетаније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3.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сидришта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лукама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пристаништима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сидришта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сидришта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4.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Најмањи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непосредни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палубе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Најмањи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непосредни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краткој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палубе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краткој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чврсто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извезана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непосредни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палубе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бродарца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машине</w:t>
      </w:r>
      <w:proofErr w:type="spellEnd"/>
      <w:r>
        <w:rPr>
          <w:color w:val="000000"/>
        </w:rPr>
        <w:t>.</w:t>
      </w:r>
      <w:proofErr w:type="gramEnd"/>
    </w:p>
    <w:p w:rsidR="00132134" w:rsidRDefault="00BF0035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1–3.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непрекидни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непосредни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специјалистичком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ADN.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конусе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специјалистичком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ADN.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5.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путници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Товарни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празне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чисте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суше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потиснице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тегљенице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</w:t>
      </w:r>
      <w:proofErr w:type="spellEnd"/>
      <w:r>
        <w:rPr>
          <w:color w:val="000000"/>
        </w:rPr>
        <w:t xml:space="preserve"> AIS </w:t>
      </w:r>
      <w:proofErr w:type="spellStart"/>
      <w:r>
        <w:rPr>
          <w:color w:val="000000"/>
        </w:rPr>
        <w:t>транспондер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противпожарне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спасилачке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пумпи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генератора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привеза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сидрења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6.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сидри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водостаја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повлачење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таласе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сметњи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пловила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књига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капетанији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заповедник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заповедника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испитивању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редовним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догађаји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8.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lastRenderedPageBreak/>
        <w:t>Сигурносна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9.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уласка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уласка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распрему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сведочанство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Ванредни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дугој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пловидба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Брод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распреми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2–4.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прегледима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транспорт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робе</w:t>
      </w:r>
      <w:proofErr w:type="spellEnd"/>
      <w:r>
        <w:rPr>
          <w:color w:val="000000"/>
        </w:rPr>
        <w:t>.</w:t>
      </w:r>
    </w:p>
    <w:p w:rsidR="00132134" w:rsidRDefault="00BF0035">
      <w:pPr>
        <w:spacing w:after="120"/>
        <w:jc w:val="center"/>
      </w:pPr>
      <w:proofErr w:type="spellStart"/>
      <w:r>
        <w:rPr>
          <w:color w:val="000000"/>
        </w:rPr>
        <w:t>Члaн</w:t>
      </w:r>
      <w:proofErr w:type="spellEnd"/>
      <w:r>
        <w:rPr>
          <w:color w:val="000000"/>
        </w:rPr>
        <w:t xml:space="preserve"> 10.</w:t>
      </w:r>
    </w:p>
    <w:p w:rsidR="00132134" w:rsidRDefault="00BF0035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132134" w:rsidRDefault="00BF0035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110-00-168/2017-06</w:t>
      </w:r>
    </w:p>
    <w:p w:rsidR="00132134" w:rsidRDefault="00BF0035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2017.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132134" w:rsidRDefault="00BF0035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132134" w:rsidRDefault="00BF0035">
      <w:pPr>
        <w:spacing w:after="150"/>
        <w:jc w:val="right"/>
      </w:pPr>
      <w:proofErr w:type="spellStart"/>
      <w:proofErr w:type="gramStart"/>
      <w:r>
        <w:rPr>
          <w:color w:val="000000"/>
        </w:rPr>
        <w:t>проф</w:t>
      </w:r>
      <w:proofErr w:type="spellEnd"/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Зорана</w:t>
      </w:r>
      <w:proofErr w:type="spellEnd"/>
      <w:r>
        <w:rPr>
          <w:b/>
          <w:color w:val="000000"/>
        </w:rPr>
        <w:t xml:space="preserve"> З. </w:t>
      </w:r>
      <w:proofErr w:type="spellStart"/>
      <w:r>
        <w:rPr>
          <w:b/>
          <w:color w:val="000000"/>
        </w:rPr>
        <w:t>Михајловић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321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34"/>
    <w:rsid w:val="000356B9"/>
    <w:rsid w:val="00132134"/>
    <w:rsid w:val="00B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3812"/>
  <w15:docId w15:val="{C1EE1B40-2413-4A7C-93D4-26B017CB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2018-01-16T08:20:00Z</dcterms:created>
  <dcterms:modified xsi:type="dcterms:W3CDTF">2018-01-16T09:10:00Z</dcterms:modified>
</cp:coreProperties>
</file>