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23" w:rsidRDefault="00562757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423.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трговачком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бродарству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96/15),</w:t>
      </w:r>
    </w:p>
    <w:p w:rsidR="00BD1B23" w:rsidRDefault="00562757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BD1B23" w:rsidRDefault="00562757">
      <w:pPr>
        <w:spacing w:after="225"/>
        <w:jc w:val="center"/>
      </w:pPr>
      <w:r>
        <w:rPr>
          <w:b/>
          <w:color w:val="000000"/>
        </w:rPr>
        <w:t>ПРАВИЛНИК</w:t>
      </w:r>
    </w:p>
    <w:p w:rsidR="00BD1B23" w:rsidRDefault="00562757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пружања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помоћи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лукама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бродовима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инвалидитетом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лицима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смањеном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покретљивошћу</w:t>
      </w:r>
      <w:proofErr w:type="spellEnd"/>
    </w:p>
    <w:p w:rsidR="00BD1B23" w:rsidRDefault="00562757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24.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2017.</w:t>
      </w:r>
    </w:p>
    <w:p w:rsidR="00BD1B23" w:rsidRDefault="00562757">
      <w:pPr>
        <w:spacing w:after="120"/>
        <w:jc w:val="center"/>
      </w:pPr>
      <w:bookmarkStart w:id="0" w:name="_GoBack"/>
      <w:bookmarkEnd w:id="0"/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BD1B23" w:rsidRDefault="00562757">
      <w:pPr>
        <w:spacing w:after="150"/>
      </w:pPr>
      <w:proofErr w:type="spellStart"/>
      <w:proofErr w:type="gram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преусмеравања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покретљивошћу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укрцавање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лукама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покретљивошћу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оспособљености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лучког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>.</w:t>
      </w:r>
      <w:proofErr w:type="gramEnd"/>
    </w:p>
    <w:p w:rsidR="00BD1B23" w:rsidRDefault="0056275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BD1B23" w:rsidRDefault="00562757">
      <w:pPr>
        <w:spacing w:after="150"/>
      </w:pP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покретљивошћу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укрцавање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преусмеравања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1 –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преусмеравања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покретљивошћу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BD1B23" w:rsidRDefault="0056275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BD1B23" w:rsidRDefault="00562757">
      <w:pPr>
        <w:spacing w:after="150"/>
      </w:pP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покретљивошћу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лукама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предузимањем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2 –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лукама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укрцавање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искрцавање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BD1B23" w:rsidRDefault="00562757">
      <w:pPr>
        <w:spacing w:after="150"/>
      </w:pP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покретљивошћу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предузимањем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3 –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BD1B23" w:rsidRDefault="0056275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BD1B23" w:rsidRDefault="00562757">
      <w:pPr>
        <w:spacing w:after="150"/>
      </w:pPr>
      <w:proofErr w:type="spellStart"/>
      <w:r>
        <w:rPr>
          <w:color w:val="000000"/>
        </w:rPr>
        <w:t>Возари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лучки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оспособљавају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4 – </w:t>
      </w:r>
      <w:proofErr w:type="spellStart"/>
      <w:r>
        <w:rPr>
          <w:color w:val="000000"/>
        </w:rPr>
        <w:t>Оспособљеност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BD1B23" w:rsidRDefault="00562757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5.</w:t>
      </w:r>
    </w:p>
    <w:p w:rsidR="00BD1B23" w:rsidRDefault="00562757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начелима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захтевима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(ЕУ),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1177/2010 </w:t>
      </w:r>
      <w:proofErr w:type="spellStart"/>
      <w:r>
        <w:rPr>
          <w:color w:val="000000"/>
        </w:rPr>
        <w:t>Европског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парламента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24. </w:t>
      </w:r>
      <w:proofErr w:type="spellStart"/>
      <w:proofErr w:type="gramStart"/>
      <w:r>
        <w:rPr>
          <w:color w:val="000000"/>
        </w:rPr>
        <w:t>новембра</w:t>
      </w:r>
      <w:proofErr w:type="spellEnd"/>
      <w:proofErr w:type="gramEnd"/>
      <w:r>
        <w:rPr>
          <w:color w:val="000000"/>
        </w:rPr>
        <w:t xml:space="preserve"> 2010.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о </w:t>
      </w:r>
      <w:proofErr w:type="spellStart"/>
      <w:r>
        <w:rPr>
          <w:color w:val="000000"/>
        </w:rPr>
        <w:t>правима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путевима</w:t>
      </w:r>
      <w:proofErr w:type="spellEnd"/>
      <w:r>
        <w:rPr>
          <w:color w:val="000000"/>
        </w:rPr>
        <w:t xml:space="preserve"> и о </w:t>
      </w:r>
      <w:proofErr w:type="spellStart"/>
      <w:r>
        <w:rPr>
          <w:color w:val="000000"/>
        </w:rPr>
        <w:t>измени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(ЕЗ),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2006/2014.</w:t>
      </w:r>
    </w:p>
    <w:p w:rsidR="00BD1B23" w:rsidRDefault="0056275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BD1B23" w:rsidRDefault="00562757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BD1B23" w:rsidRDefault="00562757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110-00-22/2017-06</w:t>
      </w:r>
    </w:p>
    <w:p w:rsidR="00BD1B23" w:rsidRDefault="00562757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23.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2017.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BD1B23" w:rsidRDefault="00562757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BD1B23" w:rsidRDefault="00562757">
      <w:pPr>
        <w:spacing w:after="150"/>
        <w:jc w:val="right"/>
      </w:pPr>
      <w:proofErr w:type="spellStart"/>
      <w:proofErr w:type="gramStart"/>
      <w:r>
        <w:rPr>
          <w:color w:val="000000"/>
        </w:rPr>
        <w:t>проф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др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Зорана</w:t>
      </w:r>
      <w:proofErr w:type="spellEnd"/>
      <w:r>
        <w:rPr>
          <w:b/>
          <w:color w:val="000000"/>
        </w:rPr>
        <w:t xml:space="preserve"> З. </w:t>
      </w:r>
      <w:proofErr w:type="spellStart"/>
      <w:r>
        <w:rPr>
          <w:b/>
          <w:color w:val="000000"/>
        </w:rPr>
        <w:t>Михајловић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BD1B23" w:rsidRDefault="00562757">
      <w:pPr>
        <w:spacing w:after="150"/>
        <w:jc w:val="right"/>
      </w:pPr>
      <w:r>
        <w:rPr>
          <w:color w:val="000000"/>
        </w:rPr>
        <w:t> </w:t>
      </w:r>
    </w:p>
    <w:p w:rsidR="00BD1B23" w:rsidRDefault="00562757">
      <w:pPr>
        <w:spacing w:after="120"/>
        <w:jc w:val="right"/>
      </w:pPr>
      <w:proofErr w:type="spellStart"/>
      <w:r>
        <w:rPr>
          <w:color w:val="000000"/>
        </w:rPr>
        <w:t>Прилози</w:t>
      </w:r>
      <w:proofErr w:type="spellEnd"/>
    </w:p>
    <w:p w:rsidR="00BD1B23" w:rsidRPr="00296995" w:rsidRDefault="00296995">
      <w:pPr>
        <w:spacing w:after="150"/>
      </w:pPr>
      <w:hyperlink r:id="rId4">
        <w:proofErr w:type="spellStart"/>
        <w:r w:rsidR="00562757" w:rsidRPr="00296995">
          <w:rPr>
            <w:rStyle w:val="Hyperlink"/>
            <w:color w:val="auto"/>
          </w:rPr>
          <w:t>Прилог</w:t>
        </w:r>
        <w:proofErr w:type="spellEnd"/>
        <w:r w:rsidR="00562757" w:rsidRPr="00296995">
          <w:rPr>
            <w:rStyle w:val="Hyperlink"/>
            <w:color w:val="auto"/>
          </w:rPr>
          <w:t xml:space="preserve"> 1 - </w:t>
        </w:r>
        <w:proofErr w:type="spellStart"/>
        <w:r w:rsidR="00562757" w:rsidRPr="00296995">
          <w:rPr>
            <w:rStyle w:val="Hyperlink"/>
            <w:color w:val="auto"/>
          </w:rPr>
          <w:t>Право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на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повраћај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новца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или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преусмеравања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за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лица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са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инвалидитетом</w:t>
        </w:r>
        <w:proofErr w:type="spellEnd"/>
        <w:r w:rsidR="00562757" w:rsidRPr="00296995">
          <w:rPr>
            <w:rStyle w:val="Hyperlink"/>
            <w:color w:val="auto"/>
          </w:rPr>
          <w:t xml:space="preserve"> и </w:t>
        </w:r>
        <w:proofErr w:type="spellStart"/>
        <w:r w:rsidR="00562757" w:rsidRPr="00296995">
          <w:rPr>
            <w:rStyle w:val="Hyperlink"/>
            <w:color w:val="auto"/>
          </w:rPr>
          <w:t>лица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са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смањеном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покретљивошћу</w:t>
        </w:r>
        <w:proofErr w:type="spellEnd"/>
      </w:hyperlink>
    </w:p>
    <w:p w:rsidR="00BD1B23" w:rsidRPr="00296995" w:rsidRDefault="00296995">
      <w:pPr>
        <w:spacing w:after="150"/>
      </w:pPr>
      <w:hyperlink r:id="rId5">
        <w:proofErr w:type="spellStart"/>
        <w:r w:rsidR="00562757" w:rsidRPr="00296995">
          <w:rPr>
            <w:rStyle w:val="Hyperlink"/>
            <w:color w:val="auto"/>
          </w:rPr>
          <w:t>Прилoг</w:t>
        </w:r>
        <w:proofErr w:type="spellEnd"/>
        <w:r w:rsidR="00562757" w:rsidRPr="00296995">
          <w:rPr>
            <w:rStyle w:val="Hyperlink"/>
            <w:color w:val="auto"/>
          </w:rPr>
          <w:t xml:space="preserve"> 2 - </w:t>
        </w:r>
        <w:proofErr w:type="spellStart"/>
        <w:r w:rsidR="00562757" w:rsidRPr="00296995">
          <w:rPr>
            <w:rStyle w:val="Hyperlink"/>
            <w:color w:val="auto"/>
          </w:rPr>
          <w:t>Помоћ</w:t>
        </w:r>
        <w:proofErr w:type="spellEnd"/>
        <w:r w:rsidR="00562757" w:rsidRPr="00296995">
          <w:rPr>
            <w:rStyle w:val="Hyperlink"/>
            <w:color w:val="auto"/>
          </w:rPr>
          <w:t xml:space="preserve"> у </w:t>
        </w:r>
        <w:proofErr w:type="spellStart"/>
        <w:r w:rsidR="00562757" w:rsidRPr="00296995">
          <w:rPr>
            <w:rStyle w:val="Hyperlink"/>
            <w:color w:val="auto"/>
          </w:rPr>
          <w:t>лукама</w:t>
        </w:r>
        <w:proofErr w:type="spellEnd"/>
        <w:r w:rsidR="00562757" w:rsidRPr="00296995">
          <w:rPr>
            <w:rStyle w:val="Hyperlink"/>
            <w:color w:val="auto"/>
          </w:rPr>
          <w:t xml:space="preserve">, </w:t>
        </w:r>
        <w:proofErr w:type="spellStart"/>
        <w:r w:rsidR="00562757" w:rsidRPr="00296995">
          <w:rPr>
            <w:rStyle w:val="Hyperlink"/>
            <w:color w:val="auto"/>
          </w:rPr>
          <w:t>укључујући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укрцавање</w:t>
        </w:r>
        <w:proofErr w:type="spellEnd"/>
        <w:r w:rsidR="00562757" w:rsidRPr="00296995">
          <w:rPr>
            <w:rStyle w:val="Hyperlink"/>
            <w:color w:val="auto"/>
          </w:rPr>
          <w:t xml:space="preserve"> и </w:t>
        </w:r>
        <w:proofErr w:type="spellStart"/>
        <w:r w:rsidR="00562757" w:rsidRPr="00296995">
          <w:rPr>
            <w:rStyle w:val="Hyperlink"/>
            <w:color w:val="auto"/>
          </w:rPr>
          <w:t>искрцавање</w:t>
        </w:r>
        <w:proofErr w:type="spellEnd"/>
      </w:hyperlink>
    </w:p>
    <w:p w:rsidR="00BD1B23" w:rsidRPr="00296995" w:rsidRDefault="00296995">
      <w:pPr>
        <w:spacing w:after="150"/>
      </w:pPr>
      <w:hyperlink r:id="rId6">
        <w:proofErr w:type="spellStart"/>
        <w:r w:rsidR="00562757" w:rsidRPr="00296995">
          <w:rPr>
            <w:rStyle w:val="Hyperlink"/>
            <w:color w:val="auto"/>
          </w:rPr>
          <w:t>Прилoг</w:t>
        </w:r>
        <w:proofErr w:type="spellEnd"/>
        <w:r w:rsidR="00562757" w:rsidRPr="00296995">
          <w:rPr>
            <w:rStyle w:val="Hyperlink"/>
            <w:color w:val="auto"/>
          </w:rPr>
          <w:t xml:space="preserve"> 3 - </w:t>
        </w:r>
        <w:proofErr w:type="spellStart"/>
        <w:r w:rsidR="00562757" w:rsidRPr="00296995">
          <w:rPr>
            <w:rStyle w:val="Hyperlink"/>
            <w:color w:val="auto"/>
          </w:rPr>
          <w:t>Помоћ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на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броду</w:t>
        </w:r>
        <w:proofErr w:type="spellEnd"/>
      </w:hyperlink>
    </w:p>
    <w:p w:rsidR="00BD1B23" w:rsidRPr="00296995" w:rsidRDefault="00296995">
      <w:pPr>
        <w:spacing w:after="150"/>
      </w:pPr>
      <w:hyperlink r:id="rId7">
        <w:proofErr w:type="spellStart"/>
        <w:r w:rsidR="00562757" w:rsidRPr="00296995">
          <w:rPr>
            <w:rStyle w:val="Hyperlink"/>
            <w:color w:val="auto"/>
          </w:rPr>
          <w:t>Прилoг</w:t>
        </w:r>
        <w:proofErr w:type="spellEnd"/>
        <w:r w:rsidR="00562757" w:rsidRPr="00296995">
          <w:rPr>
            <w:rStyle w:val="Hyperlink"/>
            <w:color w:val="auto"/>
          </w:rPr>
          <w:t xml:space="preserve"> 4 - </w:t>
        </w:r>
        <w:proofErr w:type="spellStart"/>
        <w:r w:rsidR="00562757" w:rsidRPr="00296995">
          <w:rPr>
            <w:rStyle w:val="Hyperlink"/>
            <w:color w:val="auto"/>
          </w:rPr>
          <w:t>Оспособљеност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особља</w:t>
        </w:r>
        <w:proofErr w:type="spellEnd"/>
        <w:r w:rsidR="00562757" w:rsidRPr="00296995">
          <w:rPr>
            <w:rStyle w:val="Hyperlink"/>
            <w:color w:val="auto"/>
          </w:rPr>
          <w:t xml:space="preserve"> у </w:t>
        </w:r>
        <w:proofErr w:type="spellStart"/>
        <w:r w:rsidR="00562757" w:rsidRPr="00296995">
          <w:rPr>
            <w:rStyle w:val="Hyperlink"/>
            <w:color w:val="auto"/>
          </w:rPr>
          <w:t>односу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на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поступање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са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лицима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са</w:t>
        </w:r>
        <w:proofErr w:type="spellEnd"/>
        <w:r w:rsidR="00562757" w:rsidRPr="00296995">
          <w:rPr>
            <w:rStyle w:val="Hyperlink"/>
            <w:color w:val="auto"/>
          </w:rPr>
          <w:t xml:space="preserve"> </w:t>
        </w:r>
        <w:proofErr w:type="spellStart"/>
        <w:r w:rsidR="00562757" w:rsidRPr="00296995">
          <w:rPr>
            <w:rStyle w:val="Hyperlink"/>
            <w:color w:val="auto"/>
          </w:rPr>
          <w:t>инвалидетом</w:t>
        </w:r>
        <w:proofErr w:type="spellEnd"/>
      </w:hyperlink>
    </w:p>
    <w:sectPr w:rsidR="00BD1B23" w:rsidRPr="002969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23"/>
    <w:rsid w:val="00296995"/>
    <w:rsid w:val="00562757"/>
    <w:rsid w:val="00BD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FBCDB-1FFA-4D0B-A7BB-B627F78A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prilozi/4.html&amp;x-filename=true&amp;regactid=422209&amp;doctype=r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3.html&amp;x-filename=true&amp;regactid=422209&amp;doctype=reg" TargetMode="External"/><Relationship Id="rId5" Type="http://schemas.openxmlformats.org/officeDocument/2006/relationships/hyperlink" Target="http://www.pravno-informacioni-sistem.rs/SlGlasnikPortal/prilozi/2.html&amp;x-filename=true&amp;regactid=422209&amp;doctype=reg" TargetMode="External"/><Relationship Id="rId4" Type="http://schemas.openxmlformats.org/officeDocument/2006/relationships/hyperlink" Target="http://www.pravno-informacioni-sistem.rs/SlGlasnikPortal/prilozi/1.html&amp;x-filename=true&amp;regactid=422209&amp;doctype=r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2018-01-16T08:41:00Z</dcterms:created>
  <dcterms:modified xsi:type="dcterms:W3CDTF">2018-01-16T08:59:00Z</dcterms:modified>
</cp:coreProperties>
</file>