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74" w:rsidRDefault="002B1274" w:rsidP="00B94491">
      <w:pPr>
        <w:spacing w:after="150" w:line="240" w:lineRule="auto"/>
        <w:jc w:val="center"/>
      </w:pP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73/10 и 121/12),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2B1274" w:rsidRDefault="00B94491" w:rsidP="00B94491">
      <w:pPr>
        <w:spacing w:after="150" w:line="240" w:lineRule="auto"/>
      </w:pPr>
      <w:r>
        <w:rPr>
          <w:color w:val="000000"/>
        </w:rPr>
        <w:t> </w:t>
      </w:r>
    </w:p>
    <w:p w:rsidR="002B1274" w:rsidRDefault="00B94491" w:rsidP="00B94491">
      <w:pPr>
        <w:spacing w:after="0" w:line="240" w:lineRule="auto"/>
        <w:jc w:val="center"/>
      </w:pPr>
      <w:r>
        <w:rPr>
          <w:b/>
          <w:color w:val="000000"/>
        </w:rPr>
        <w:t>ПРАВИЛНИК</w:t>
      </w:r>
    </w:p>
    <w:p w:rsidR="002B1274" w:rsidRDefault="00B94491" w:rsidP="00B94491">
      <w:pPr>
        <w:spacing w:after="150" w:line="240" w:lineRule="auto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критеријумима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признавање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подноси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захтев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признавање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поступак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признавање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класификационих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друштава</w:t>
      </w:r>
      <w:proofErr w:type="spellEnd"/>
    </w:p>
    <w:p w:rsidR="002B1274" w:rsidRDefault="00B94491" w:rsidP="00B94491">
      <w:pPr>
        <w:spacing w:after="150" w:line="240" w:lineRule="auto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2013.</w:t>
      </w:r>
    </w:p>
    <w:p w:rsidR="002B1274" w:rsidRDefault="00B94491" w:rsidP="00B94491">
      <w:pPr>
        <w:spacing w:after="150" w:line="240" w:lineRule="auto"/>
        <w:jc w:val="center"/>
      </w:pPr>
      <w:r>
        <w:rPr>
          <w:b/>
          <w:color w:val="000000"/>
        </w:rPr>
        <w:t> 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уређења</w:t>
      </w:r>
      <w:proofErr w:type="spellEnd"/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критеријуми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признавање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</w:t>
      </w:r>
      <w:r>
        <w:rPr>
          <w:color w:val="000000"/>
        </w:rPr>
        <w:t>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бродоградитеља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комерцијалне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</w:t>
      </w:r>
      <w:r>
        <w:rPr>
          <w:color w:val="000000"/>
        </w:rPr>
        <w:t>рхе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пројектовању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градњи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опремању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ремонту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углед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управљачког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истраживачког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несметано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сразмерно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ревоз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стеченом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оцењивању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</w:t>
      </w:r>
      <w:r>
        <w:rPr>
          <w:color w:val="000000"/>
        </w:rPr>
        <w:t>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свеобухватна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енглеском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француском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холандском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периодичан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стабилитета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>. 22а</w:t>
      </w:r>
      <w:r>
        <w:rPr>
          <w:color w:val="000000"/>
        </w:rPr>
        <w:t xml:space="preserve"> 04 и 22а 05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II – </w:t>
      </w:r>
      <w:proofErr w:type="spellStart"/>
      <w:r>
        <w:rPr>
          <w:color w:val="000000"/>
        </w:rPr>
        <w:t>Делa</w:t>
      </w:r>
      <w:proofErr w:type="spellEnd"/>
      <w:r>
        <w:rPr>
          <w:color w:val="000000"/>
        </w:rPr>
        <w:t xml:space="preserve"> 9. </w:t>
      </w:r>
      <w:proofErr w:type="spellStart"/>
      <w:proofErr w:type="gramStart"/>
      <w:r>
        <w:rPr>
          <w:color w:val="000000"/>
        </w:rPr>
        <w:t>правила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(ADN);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</w:t>
      </w:r>
      <w:r>
        <w:rPr>
          <w:color w:val="000000"/>
        </w:rPr>
        <w:t>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Европску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</w:t>
      </w:r>
      <w:r>
        <w:rPr>
          <w:color w:val="000000"/>
        </w:rPr>
        <w:t>да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9)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кодексом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10)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загарантована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поверљивим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11)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</w:t>
      </w:r>
      <w:r>
        <w:rPr>
          <w:color w:val="000000"/>
        </w:rPr>
        <w:t>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12)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</w:t>
      </w:r>
      <w:bookmarkStart w:id="0" w:name="_GoBack"/>
      <w:bookmarkEnd w:id="0"/>
      <w:r>
        <w:rPr>
          <w:color w:val="000000"/>
        </w:rPr>
        <w:t>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документовану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13)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стандардом</w:t>
      </w:r>
      <w:proofErr w:type="spellEnd"/>
      <w:r>
        <w:rPr>
          <w:color w:val="000000"/>
        </w:rPr>
        <w:t xml:space="preserve"> SRPS ISO 9001;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14)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држави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15)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</w:t>
      </w:r>
      <w:r>
        <w:rPr>
          <w:color w:val="000000"/>
        </w:rPr>
        <w:t>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>: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међусобни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</w:t>
      </w:r>
      <w:r>
        <w:rPr>
          <w:color w:val="000000"/>
        </w:rPr>
        <w:t>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квалитетом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контролише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lastRenderedPageBreak/>
        <w:t xml:space="preserve">6)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постигнутим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>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9) </w:t>
      </w:r>
      <w:proofErr w:type="spellStart"/>
      <w:proofErr w:type="gramStart"/>
      <w:r>
        <w:rPr>
          <w:color w:val="000000"/>
        </w:rPr>
        <w:t>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свеобухватни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b/>
          <w:color w:val="000000"/>
        </w:rPr>
        <w:t>Поступак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признавање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огранак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признавању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</w:t>
      </w:r>
      <w:r>
        <w:rPr>
          <w:color w:val="000000"/>
        </w:rPr>
        <w:t>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донета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Министарс</w:t>
      </w:r>
      <w:r>
        <w:rPr>
          <w:color w:val="000000"/>
        </w:rPr>
        <w:t>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ажурира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признавању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b/>
          <w:color w:val="000000"/>
        </w:rPr>
        <w:t>Завршне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одредбе</w:t>
      </w:r>
      <w:proofErr w:type="spellEnd"/>
    </w:p>
    <w:p w:rsidR="002B1274" w:rsidRDefault="00B94491" w:rsidP="00B94491">
      <w:pPr>
        <w:spacing w:after="120" w:line="240" w:lineRule="auto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7.</w:t>
      </w:r>
    </w:p>
    <w:p w:rsidR="002B1274" w:rsidRDefault="00B94491" w:rsidP="00B94491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пуноправно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> </w:t>
      </w:r>
    </w:p>
    <w:p w:rsidR="002B1274" w:rsidRDefault="00B94491" w:rsidP="00B94491">
      <w:pPr>
        <w:spacing w:after="150" w:line="240" w:lineRule="auto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110-00-83/2013-06</w:t>
      </w:r>
    </w:p>
    <w:p w:rsidR="002B1274" w:rsidRDefault="00B94491" w:rsidP="00B94491">
      <w:pPr>
        <w:spacing w:after="150" w:line="240" w:lineRule="auto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7.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2013.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B1274" w:rsidRDefault="00B94491" w:rsidP="00B94491">
      <w:pPr>
        <w:spacing w:after="150" w:line="240" w:lineRule="auto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2B1274" w:rsidRDefault="00B94491" w:rsidP="00B94491">
      <w:pPr>
        <w:spacing w:after="150" w:line="240" w:lineRule="auto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2B1274" w:rsidRDefault="00B94491" w:rsidP="00B94491">
      <w:pPr>
        <w:spacing w:after="150" w:line="240" w:lineRule="auto"/>
        <w:jc w:val="right"/>
      </w:pPr>
      <w:r>
        <w:rPr>
          <w:color w:val="000000"/>
        </w:rPr>
        <w:t> </w:t>
      </w:r>
    </w:p>
    <w:p w:rsidR="002B1274" w:rsidRDefault="00B94491" w:rsidP="00B94491">
      <w:pPr>
        <w:spacing w:after="150" w:line="240" w:lineRule="auto"/>
        <w:jc w:val="right"/>
      </w:pPr>
      <w:r>
        <w:rPr>
          <w:color w:val="000000"/>
        </w:rPr>
        <w:t> </w:t>
      </w:r>
    </w:p>
    <w:p w:rsidR="002B1274" w:rsidRDefault="00B94491" w:rsidP="00B94491">
      <w:pPr>
        <w:spacing w:after="150" w:line="240" w:lineRule="auto"/>
        <w:jc w:val="right"/>
      </w:pPr>
      <w:r>
        <w:rPr>
          <w:color w:val="000000"/>
        </w:rPr>
        <w:t>ПРИЛОГ</w:t>
      </w:r>
    </w:p>
    <w:p w:rsidR="002B1274" w:rsidRDefault="00B94491" w:rsidP="00B94491">
      <w:pPr>
        <w:spacing w:after="120" w:line="240" w:lineRule="auto"/>
        <w:jc w:val="center"/>
      </w:pPr>
      <w:r>
        <w:rPr>
          <w:color w:val="000000"/>
        </w:rPr>
        <w:t>ПОПИС</w:t>
      </w:r>
      <w:r>
        <w:br/>
      </w:r>
      <w:r>
        <w:rPr>
          <w:color w:val="000000"/>
        </w:rPr>
        <w:t>ПРИЗНАТИХ КЛАСИФИКАЦИОНИХ ДРУШТАВА ЗА БРОДОВЕ УНУТРАШЊЕ ПЛОВИДБЕ ОД СТРАНЕ ЕВРОПСКЕ КОМИСИЈЕ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>1) Bureau Veritas;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Germanischer</w:t>
      </w:r>
      <w:proofErr w:type="spellEnd"/>
      <w:r>
        <w:rPr>
          <w:color w:val="000000"/>
        </w:rPr>
        <w:t xml:space="preserve"> Lloyd;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>3) Lloyd’s Regist</w:t>
      </w:r>
      <w:r>
        <w:rPr>
          <w:color w:val="000000"/>
        </w:rPr>
        <w:t>er of Shipping;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Polski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Rejestr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Statków</w:t>
      </w:r>
      <w:proofErr w:type="spellEnd"/>
      <w:r>
        <w:rPr>
          <w:color w:val="000000"/>
        </w:rPr>
        <w:t xml:space="preserve"> S.A. (Polish Register of Shipping);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>5) Russian Maritime Register of Shipping;</w:t>
      </w:r>
    </w:p>
    <w:p w:rsidR="002B1274" w:rsidRDefault="00B94491" w:rsidP="00B94491">
      <w:pPr>
        <w:spacing w:after="150" w:line="240" w:lineRule="auto"/>
      </w:pPr>
      <w:r>
        <w:rPr>
          <w:color w:val="000000"/>
        </w:rPr>
        <w:t xml:space="preserve">6) RINA </w:t>
      </w:r>
      <w:proofErr w:type="spellStart"/>
      <w:r>
        <w:rPr>
          <w:color w:val="000000"/>
        </w:rPr>
        <w:t>SpA</w:t>
      </w:r>
      <w:proofErr w:type="spellEnd"/>
      <w:r>
        <w:rPr>
          <w:color w:val="000000"/>
        </w:rPr>
        <w:t xml:space="preserve"> (Italian Register of Shipping).</w:t>
      </w:r>
    </w:p>
    <w:sectPr w:rsidR="002B12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4"/>
    <w:rsid w:val="002B1274"/>
    <w:rsid w:val="00642875"/>
    <w:rsid w:val="00B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B16EC-A4E0-4E41-BFBC-2C198CC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2018-01-22T13:18:00Z</dcterms:created>
  <dcterms:modified xsi:type="dcterms:W3CDTF">2018-01-22T13:18:00Z</dcterms:modified>
</cp:coreProperties>
</file>