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9569C3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CD7485">
              <w:rPr>
                <w:rFonts w:ascii="Times New Roman" w:hAnsi="Times New Roman" w:cs="Times New Roman"/>
                <w:sz w:val="24"/>
                <w:lang w:val="ru-RU"/>
              </w:rPr>
              <w:t>404-02-34/</w:t>
            </w:r>
            <w:r w:rsidR="00BD3EB9">
              <w:rPr>
                <w:rFonts w:ascii="Times New Roman" w:hAnsi="Times New Roman" w:cs="Times New Roman"/>
                <w:sz w:val="24"/>
                <w:lang w:val="sr-Latn-BA"/>
              </w:rPr>
              <w:t>6</w:t>
            </w:r>
            <w:r w:rsidR="00FE16CA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FE16C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BD3EB9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05</w:t>
            </w:r>
            <w:r w:rsidR="00BD3EB9"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  <w:r w:rsidR="00FE16CA">
              <w:rPr>
                <w:rFonts w:ascii="Times New Roman" w:eastAsia="MS Mincho" w:hAnsi="Times New Roman" w:cs="Times New Roman"/>
                <w:sz w:val="24"/>
                <w:szCs w:val="24"/>
              </w:rPr>
              <w:t>.2020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014CF" w:rsidRPr="006E259F" w:rsidRDefault="00AF2F2F" w:rsidP="006E25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набавку</w:t>
      </w:r>
      <w:r w:rsid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-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Израда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лана детаљне регулације аеродрома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Сребрно језеро у општини Велико Градиште, број: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15/2020 </w:t>
      </w: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20761B" w:rsidRDefault="0020761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E16CA" w:rsidRPr="00FE16CA" w:rsidRDefault="00FE16CA" w:rsidP="00BA70FC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</w:pPr>
      <w:r w:rsidRPr="00FE16CA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  <w:t>ПИТАЊЕ 1</w:t>
      </w:r>
    </w:p>
    <w:p w:rsidR="00FE16CA" w:rsidRPr="00FE16CA" w:rsidRDefault="00FE16CA" w:rsidP="00BA70FC">
      <w:pPr>
        <w:ind w:left="70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 w:eastAsia="sr-Latn-BA"/>
        </w:rPr>
      </w:pPr>
    </w:p>
    <w:p w:rsidR="00BD3EB9" w:rsidRPr="00BD3EB9" w:rsidRDefault="006E259F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D3EB9" w:rsidRPr="00BD3EB9">
        <w:rPr>
          <w:rFonts w:ascii="Times New Roman" w:hAnsi="Times New Roman" w:cs="Times New Roman"/>
          <w:sz w:val="24"/>
          <w:szCs w:val="24"/>
          <w:lang w:val="sr-Cyrl-CS"/>
        </w:rPr>
        <w:t xml:space="preserve"> поглављу V-Упутство понуђачима како да сачине понуду под тачком 17.Врста и критеријум за доделу уговора вреднује се рок за израду плана а у обрасцу понуде се тражи рок за израду радне верзије Нацрта плана (не може бити краћи од 90 дана), а у моделу уговора у члану 4.рок израде дати су рокови по фазама где је понуђачима остављена могућност да дају своје рокове за: </w:t>
      </w:r>
    </w:p>
    <w:p w:rsidR="00BD3EB9" w:rsidRPr="00BD3EB9" w:rsidRDefault="00BD3EB9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3EB9">
        <w:rPr>
          <w:rFonts w:ascii="Times New Roman" w:hAnsi="Times New Roman" w:cs="Times New Roman"/>
          <w:sz w:val="24"/>
          <w:szCs w:val="24"/>
          <w:lang w:val="sr-Cyrl-CS"/>
        </w:rPr>
        <w:t>•</w:t>
      </w:r>
      <w:r w:rsidRPr="00BD3EB9">
        <w:rPr>
          <w:rFonts w:ascii="Times New Roman" w:hAnsi="Times New Roman" w:cs="Times New Roman"/>
          <w:sz w:val="24"/>
          <w:szCs w:val="24"/>
          <w:lang w:val="sr-Cyrl-CS"/>
        </w:rPr>
        <w:tab/>
        <w:t>рок за предају радне верзије Нацрта Плана детаљне регулације за потребе спровођења стручне контроле, износи_____месеци од дана пријема Извештаја о обављеном раном јавном увиду; ( попуњава пружалац услуге)</w:t>
      </w:r>
    </w:p>
    <w:p w:rsidR="00BD3EB9" w:rsidRPr="00BD3EB9" w:rsidRDefault="00BD3EB9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3EB9">
        <w:rPr>
          <w:rFonts w:ascii="Times New Roman" w:hAnsi="Times New Roman" w:cs="Times New Roman"/>
          <w:sz w:val="24"/>
          <w:szCs w:val="24"/>
          <w:lang w:val="sr-Cyrl-CS"/>
        </w:rPr>
        <w:t>•</w:t>
      </w:r>
      <w:r w:rsidRPr="00BD3EB9">
        <w:rPr>
          <w:rFonts w:ascii="Times New Roman" w:hAnsi="Times New Roman" w:cs="Times New Roman"/>
          <w:sz w:val="24"/>
          <w:szCs w:val="24"/>
          <w:lang w:val="sr-Cyrl-CS"/>
        </w:rPr>
        <w:tab/>
        <w:t>рок за предају Плана детаљне регулације у тврдо укориченом повезу и два примерка документационе основе, износи ______ дана од дана објављивања предметног планског документа у службеном гласилу. ( попуњава пружалац услуге)</w:t>
      </w:r>
    </w:p>
    <w:p w:rsidR="00BD3EB9" w:rsidRPr="00BD3EB9" w:rsidRDefault="00BD3EB9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3EB9">
        <w:rPr>
          <w:rFonts w:ascii="Times New Roman" w:hAnsi="Times New Roman" w:cs="Times New Roman"/>
          <w:sz w:val="24"/>
          <w:szCs w:val="24"/>
          <w:lang w:val="sr-Cyrl-CS"/>
        </w:rPr>
        <w:t>а за остале фазе наручилац је дефинисао рокове.</w:t>
      </w:r>
    </w:p>
    <w:p w:rsidR="00CD7485" w:rsidRDefault="00BD3EB9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D3EB9">
        <w:rPr>
          <w:rFonts w:ascii="Times New Roman" w:hAnsi="Times New Roman" w:cs="Times New Roman"/>
          <w:sz w:val="24"/>
          <w:szCs w:val="24"/>
          <w:lang w:val="sr-Cyrl-CS"/>
        </w:rPr>
        <w:t>Питање:Који ће се рок бодовати за избор најповољније понуде</w:t>
      </w:r>
      <w:r>
        <w:rPr>
          <w:rFonts w:ascii="Times New Roman" w:hAnsi="Times New Roman" w:cs="Times New Roman"/>
          <w:sz w:val="24"/>
          <w:szCs w:val="24"/>
          <w:lang w:val="sr-Latn-BA"/>
        </w:rPr>
        <w:t>?</w:t>
      </w:r>
    </w:p>
    <w:p w:rsidR="00BD3EB9" w:rsidRDefault="00BD3EB9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3EB9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BD3EB9" w:rsidRPr="006E259F" w:rsidRDefault="006E259F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259F">
        <w:rPr>
          <w:rFonts w:ascii="Times New Roman" w:hAnsi="Times New Roman" w:cs="Times New Roman"/>
          <w:sz w:val="24"/>
          <w:szCs w:val="24"/>
          <w:lang w:val="sr-Cyrl-CS"/>
        </w:rPr>
        <w:t>Бодује се рок за израду радне верзије Нацрта за стручну контролу што је наведено и у конкурсној документацији испод табеле на страни 19.</w:t>
      </w:r>
    </w:p>
    <w:p w:rsidR="00BD3EB9" w:rsidRDefault="00BD3EB9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ПИТАЊЕ 2</w:t>
      </w:r>
    </w:p>
    <w:p w:rsidR="00BD3EB9" w:rsidRDefault="000A239F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Молим вас за б</w:t>
      </w:r>
      <w:r w:rsidR="00BD3EB9" w:rsidRPr="00BD3EB9">
        <w:rPr>
          <w:rFonts w:ascii="Times New Roman" w:hAnsi="Times New Roman" w:cs="Times New Roman"/>
          <w:sz w:val="24"/>
          <w:szCs w:val="24"/>
          <w:lang w:val="sr-Cyrl-CS"/>
        </w:rPr>
        <w:t>рој текућег рач</w:t>
      </w:r>
      <w:r w:rsidR="00BD3EB9">
        <w:rPr>
          <w:rFonts w:ascii="Times New Roman" w:hAnsi="Times New Roman" w:cs="Times New Roman"/>
          <w:sz w:val="24"/>
          <w:szCs w:val="24"/>
          <w:lang w:val="sr-Cyrl-CS"/>
        </w:rPr>
        <w:t>уна наруч</w:t>
      </w:r>
      <w:r w:rsidR="00BD3EB9" w:rsidRPr="00BD3EB9">
        <w:rPr>
          <w:rFonts w:ascii="Times New Roman" w:hAnsi="Times New Roman" w:cs="Times New Roman"/>
          <w:sz w:val="24"/>
          <w:szCs w:val="24"/>
          <w:lang w:val="sr-Cyrl-CS"/>
        </w:rPr>
        <w:t>иоца ЈН 15/2020, како би могли да средства финансијског обезбеђења која иду уз тендерску документацију?</w:t>
      </w:r>
    </w:p>
    <w:p w:rsidR="000A239F" w:rsidRDefault="000A239F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239F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6E259F" w:rsidRPr="006E259F" w:rsidRDefault="006E259F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259F">
        <w:rPr>
          <w:rFonts w:ascii="Times New Roman" w:hAnsi="Times New Roman" w:cs="Times New Roman"/>
          <w:sz w:val="24"/>
          <w:szCs w:val="24"/>
          <w:lang w:val="sr-Cyrl-CS"/>
        </w:rPr>
        <w:t>Број рачуна је 840-1620-21</w:t>
      </w:r>
    </w:p>
    <w:p w:rsidR="006E259F" w:rsidRDefault="006E259F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3</w:t>
      </w:r>
    </w:p>
    <w:p w:rsidR="006E259F" w:rsidRPr="006E259F" w:rsidRDefault="006E259F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259F">
        <w:rPr>
          <w:rFonts w:ascii="Times New Roman" w:hAnsi="Times New Roman" w:cs="Times New Roman"/>
          <w:sz w:val="24"/>
          <w:szCs w:val="24"/>
          <w:lang w:val="sr-Cyrl-CS"/>
        </w:rPr>
        <w:t>Да ли као референтни План за пондерисање, у оквиру поменуте ЈН по критеријум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економски наповољнија понуда, прихватате П</w:t>
      </w:r>
      <w:r w:rsidRPr="006E259F">
        <w:rPr>
          <w:rFonts w:ascii="Times New Roman" w:hAnsi="Times New Roman" w:cs="Times New Roman"/>
          <w:sz w:val="24"/>
          <w:szCs w:val="24"/>
          <w:lang w:val="sr-Cyrl-CS"/>
        </w:rPr>
        <w:t>лан детаљне регулације које је наше привредно друштво израдило за наручиоца ЈП Скијалиште Србије?</w:t>
      </w:r>
    </w:p>
    <w:p w:rsidR="006E259F" w:rsidRDefault="006E259F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259F">
        <w:rPr>
          <w:rFonts w:ascii="Times New Roman" w:hAnsi="Times New Roman" w:cs="Times New Roman"/>
          <w:sz w:val="24"/>
          <w:szCs w:val="24"/>
          <w:lang w:val="sr-Cyrl-CS"/>
        </w:rPr>
        <w:t>Ради се о ПДР-у који у оквиру пројектног задатка и планског решења садржи путну саобраћајну инфраструктуру, како за теретни и путнички саобраћај, тако и скијашку инфраструктуру- ски стазе и ски путеве, као и целокупну осталу инфраструктуру водоводну и канализациону, електроенергетску и телекомуникациону?</w:t>
      </w:r>
    </w:p>
    <w:p w:rsidR="003F68C9" w:rsidRPr="003F68C9" w:rsidRDefault="003F68C9" w:rsidP="00BD3EB9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68C9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BD3EB9" w:rsidRPr="003F68C9" w:rsidRDefault="003F68C9" w:rsidP="00BD3EB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68C9">
        <w:rPr>
          <w:rFonts w:ascii="Times New Roman" w:hAnsi="Times New Roman" w:cs="Times New Roman"/>
          <w:sz w:val="24"/>
          <w:szCs w:val="24"/>
          <w:lang w:val="sr-Cyrl-CS"/>
        </w:rPr>
        <w:t>Пондеришу се референце руководиоца, односно број руковођења плановима детаљне регулације за саобраћајне инфраструктурне системе, док је број израђених планова детаљне регулације за саобраћајне инфраструктурне системе додатни услов.</w:t>
      </w:r>
      <w:r w:rsidR="00BD3EB9" w:rsidRPr="003F6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3F68C9">
        <w:rPr>
          <w:rFonts w:ascii="Times New Roman" w:hAnsi="Times New Roman" w:cs="Times New Roman"/>
          <w:sz w:val="24"/>
          <w:szCs w:val="24"/>
          <w:lang w:val="sr-Cyrl-CS"/>
        </w:rPr>
        <w:t>Један од елемената критеријума који ће се пондерисати је референце руководиоца односно број руковођења плановима детаљне регулације за саобр</w:t>
      </w:r>
      <w:r>
        <w:rPr>
          <w:rFonts w:ascii="Times New Roman" w:hAnsi="Times New Roman" w:cs="Times New Roman"/>
          <w:sz w:val="24"/>
          <w:szCs w:val="24"/>
          <w:lang w:val="sr-Cyrl-CS"/>
        </w:rPr>
        <w:t>аћајне инфраструктурне системе, с</w:t>
      </w:r>
      <w:r w:rsidRPr="003F68C9">
        <w:rPr>
          <w:rFonts w:ascii="Times New Roman" w:hAnsi="Times New Roman" w:cs="Times New Roman"/>
          <w:sz w:val="24"/>
          <w:szCs w:val="24"/>
          <w:lang w:val="sr-Cyrl-CS"/>
        </w:rPr>
        <w:t>трана 19 Конкурсне документације)</w:t>
      </w:r>
      <w:r w:rsidR="002B2548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  <w:r w:rsidR="00BD3EB9" w:rsidRPr="003F68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</w:t>
      </w:r>
    </w:p>
    <w:sectPr w:rsidR="00BD3EB9" w:rsidRPr="003F68C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B1" w:rsidRDefault="005662B1" w:rsidP="00DD0C6C">
      <w:r>
        <w:separator/>
      </w:r>
    </w:p>
  </w:endnote>
  <w:endnote w:type="continuationSeparator" w:id="0">
    <w:p w:rsidR="005662B1" w:rsidRDefault="005662B1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B1" w:rsidRDefault="005662B1" w:rsidP="00DD0C6C">
      <w:r>
        <w:separator/>
      </w:r>
    </w:p>
  </w:footnote>
  <w:footnote w:type="continuationSeparator" w:id="0">
    <w:p w:rsidR="005662B1" w:rsidRDefault="005662B1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CAB637F"/>
    <w:multiLevelType w:val="hybridMultilevel"/>
    <w:tmpl w:val="B82857A2"/>
    <w:lvl w:ilvl="0" w:tplc="5822A58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803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0E1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2FA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A4D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6B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5C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688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6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A239F"/>
    <w:rsid w:val="000F221E"/>
    <w:rsid w:val="00111C05"/>
    <w:rsid w:val="00122D82"/>
    <w:rsid w:val="00174D66"/>
    <w:rsid w:val="001D1464"/>
    <w:rsid w:val="0020761B"/>
    <w:rsid w:val="002B2548"/>
    <w:rsid w:val="002E527B"/>
    <w:rsid w:val="00371858"/>
    <w:rsid w:val="00374F9E"/>
    <w:rsid w:val="003C397E"/>
    <w:rsid w:val="003E703C"/>
    <w:rsid w:val="003F68C9"/>
    <w:rsid w:val="0040663B"/>
    <w:rsid w:val="004149A4"/>
    <w:rsid w:val="00514149"/>
    <w:rsid w:val="005254F5"/>
    <w:rsid w:val="005662B1"/>
    <w:rsid w:val="005D2F4A"/>
    <w:rsid w:val="005F50DF"/>
    <w:rsid w:val="00626FF9"/>
    <w:rsid w:val="00660CEE"/>
    <w:rsid w:val="00662F8C"/>
    <w:rsid w:val="006A78BD"/>
    <w:rsid w:val="006D6CB8"/>
    <w:rsid w:val="006E259F"/>
    <w:rsid w:val="00700674"/>
    <w:rsid w:val="00702468"/>
    <w:rsid w:val="00706B2A"/>
    <w:rsid w:val="00722C78"/>
    <w:rsid w:val="007308ED"/>
    <w:rsid w:val="00761F62"/>
    <w:rsid w:val="007929DA"/>
    <w:rsid w:val="007E4742"/>
    <w:rsid w:val="0080184B"/>
    <w:rsid w:val="00806D6E"/>
    <w:rsid w:val="00856F75"/>
    <w:rsid w:val="00886A15"/>
    <w:rsid w:val="009569C3"/>
    <w:rsid w:val="009A228E"/>
    <w:rsid w:val="009D25AA"/>
    <w:rsid w:val="00A01B50"/>
    <w:rsid w:val="00A3319E"/>
    <w:rsid w:val="00A72A53"/>
    <w:rsid w:val="00AA6D9E"/>
    <w:rsid w:val="00AF2F2F"/>
    <w:rsid w:val="00B87F36"/>
    <w:rsid w:val="00BA70FC"/>
    <w:rsid w:val="00BC19E6"/>
    <w:rsid w:val="00BD3EB9"/>
    <w:rsid w:val="00C2345A"/>
    <w:rsid w:val="00C2766F"/>
    <w:rsid w:val="00C35458"/>
    <w:rsid w:val="00CA5FD8"/>
    <w:rsid w:val="00CD7485"/>
    <w:rsid w:val="00CF09AF"/>
    <w:rsid w:val="00D32732"/>
    <w:rsid w:val="00D65617"/>
    <w:rsid w:val="00DD0C6C"/>
    <w:rsid w:val="00DD2BE3"/>
    <w:rsid w:val="00ED2F7E"/>
    <w:rsid w:val="00ED601C"/>
    <w:rsid w:val="00F014CF"/>
    <w:rsid w:val="00FD6E76"/>
    <w:rsid w:val="00FE12CF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44A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E16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10</cp:revision>
  <cp:lastPrinted>2019-04-15T13:02:00Z</cp:lastPrinted>
  <dcterms:created xsi:type="dcterms:W3CDTF">2020-03-31T10:35:00Z</dcterms:created>
  <dcterms:modified xsi:type="dcterms:W3CDTF">2020-05-05T13:04:00Z</dcterms:modified>
</cp:coreProperties>
</file>