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533564" w:rsidRPr="009B1C7B" w:rsidTr="00855C99">
        <w:trPr>
          <w:trHeight w:val="293"/>
        </w:trPr>
        <w:tc>
          <w:tcPr>
            <w:tcW w:w="4928" w:type="dxa"/>
            <w:vAlign w:val="center"/>
          </w:tcPr>
          <w:p w:rsidR="00533564" w:rsidRPr="009B1C7B" w:rsidRDefault="00533564" w:rsidP="00855C99">
            <w:pPr>
              <w:spacing w:after="0" w:line="240" w:lineRule="auto"/>
              <w:jc w:val="center"/>
              <w:rPr>
                <w:rFonts w:ascii="Times New Roman" w:eastAsia="MS Mincho" w:hAnsi="Times New Roman" w:cs="Times New Roman"/>
                <w:sz w:val="24"/>
                <w:szCs w:val="24"/>
                <w:lang w:val="sr-Cyrl-CS"/>
              </w:rPr>
            </w:pPr>
            <w:bookmarkStart w:id="0" w:name="_GoBack"/>
            <w:bookmarkEnd w:id="0"/>
            <w:r w:rsidRPr="009B1C7B">
              <w:rPr>
                <w:rFonts w:ascii="Times New Roman" w:eastAsia="MS Mincho" w:hAnsi="Times New Roman" w:cs="Times New Roman"/>
                <w:noProof/>
                <w:sz w:val="24"/>
                <w:szCs w:val="24"/>
              </w:rPr>
              <w:drawing>
                <wp:inline distT="0" distB="0" distL="0" distR="0" wp14:anchorId="7C41C574" wp14:editId="0240FDC3">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533564" w:rsidRPr="009B1C7B" w:rsidTr="00855C99">
        <w:trPr>
          <w:trHeight w:val="293"/>
        </w:trPr>
        <w:tc>
          <w:tcPr>
            <w:tcW w:w="4928" w:type="dxa"/>
            <w:vAlign w:val="center"/>
          </w:tcPr>
          <w:p w:rsidR="00533564" w:rsidRPr="00ED78C2" w:rsidRDefault="00533564" w:rsidP="00855C99">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533564" w:rsidRPr="009B1C7B" w:rsidTr="00855C99">
        <w:trPr>
          <w:trHeight w:val="293"/>
        </w:trPr>
        <w:tc>
          <w:tcPr>
            <w:tcW w:w="4928" w:type="dxa"/>
            <w:vAlign w:val="center"/>
          </w:tcPr>
          <w:p w:rsidR="00533564" w:rsidRPr="00832196" w:rsidRDefault="00533564" w:rsidP="00326098">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Број</w:t>
            </w:r>
            <w:r w:rsidRPr="00832196">
              <w:rPr>
                <w:rFonts w:ascii="Times New Roman" w:eastAsia="MS Mincho" w:hAnsi="Times New Roman" w:cs="Times New Roman"/>
                <w:color w:val="000000" w:themeColor="text1"/>
                <w:sz w:val="24"/>
                <w:szCs w:val="24"/>
              </w:rPr>
              <w:t xml:space="preserve">: </w:t>
            </w:r>
            <w:r w:rsidR="002D2817" w:rsidRPr="00DF6D08">
              <w:rPr>
                <w:rFonts w:ascii="Times New Roman" w:hAnsi="Times New Roman"/>
                <w:sz w:val="24"/>
                <w:szCs w:val="24"/>
                <w:lang w:val="en-GB"/>
              </w:rPr>
              <w:t>404-02-73</w:t>
            </w:r>
            <w:r w:rsidR="002D2817" w:rsidRPr="00DF6D08">
              <w:rPr>
                <w:rFonts w:ascii="Times New Roman" w:hAnsi="Times New Roman"/>
                <w:sz w:val="24"/>
                <w:szCs w:val="24"/>
                <w:lang w:val="sr-Cyrl-CS"/>
              </w:rPr>
              <w:t>/</w:t>
            </w:r>
            <w:r w:rsidR="002D2817">
              <w:rPr>
                <w:rFonts w:ascii="Times New Roman" w:hAnsi="Times New Roman"/>
                <w:sz w:val="24"/>
                <w:szCs w:val="24"/>
              </w:rPr>
              <w:t>9</w:t>
            </w:r>
            <w:r w:rsidR="002D2817" w:rsidRPr="00DF6D08">
              <w:rPr>
                <w:rFonts w:ascii="Times New Roman" w:hAnsi="Times New Roman"/>
                <w:sz w:val="24"/>
                <w:szCs w:val="24"/>
              </w:rPr>
              <w:t>/</w:t>
            </w:r>
            <w:r w:rsidR="002D2817" w:rsidRPr="00DF6D08">
              <w:rPr>
                <w:rFonts w:ascii="Times New Roman" w:hAnsi="Times New Roman"/>
                <w:sz w:val="24"/>
                <w:szCs w:val="24"/>
                <w:lang w:val="en-GB"/>
              </w:rPr>
              <w:t>2020-02</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rPr>
            </w:pPr>
            <w:r w:rsidRPr="00832196">
              <w:rPr>
                <w:rFonts w:ascii="Times New Roman" w:eastAsia="MS Mincho" w:hAnsi="Times New Roman" w:cs="Times New Roman"/>
                <w:color w:val="000000" w:themeColor="text1"/>
                <w:sz w:val="24"/>
                <w:szCs w:val="24"/>
                <w:lang w:val="sr-Cyrl-CS"/>
              </w:rPr>
              <w:t>Датум</w:t>
            </w:r>
            <w:r w:rsidRPr="00832196">
              <w:rPr>
                <w:rFonts w:ascii="Times New Roman" w:eastAsia="MS Mincho" w:hAnsi="Times New Roman" w:cs="Times New Roman"/>
                <w:color w:val="000000" w:themeColor="text1"/>
                <w:sz w:val="24"/>
                <w:szCs w:val="24"/>
              </w:rPr>
              <w:t xml:space="preserve">: </w:t>
            </w:r>
            <w:r w:rsidR="002D2817">
              <w:rPr>
                <w:rFonts w:ascii="Times New Roman" w:eastAsia="MS Mincho" w:hAnsi="Times New Roman" w:cs="Times New Roman"/>
                <w:color w:val="000000" w:themeColor="text1"/>
                <w:sz w:val="24"/>
                <w:szCs w:val="24"/>
              </w:rPr>
              <w:t>05</w:t>
            </w:r>
            <w:r w:rsidR="00055F54">
              <w:rPr>
                <w:rFonts w:ascii="Times New Roman" w:eastAsia="MS Mincho" w:hAnsi="Times New Roman" w:cs="Times New Roman"/>
                <w:color w:val="000000" w:themeColor="text1"/>
                <w:sz w:val="24"/>
                <w:szCs w:val="24"/>
              </w:rPr>
              <w:t>.10</w:t>
            </w:r>
            <w:r w:rsidRPr="00832196">
              <w:rPr>
                <w:rFonts w:ascii="Times New Roman" w:eastAsia="MS Mincho" w:hAnsi="Times New Roman" w:cs="Times New Roman"/>
                <w:color w:val="000000" w:themeColor="text1"/>
                <w:sz w:val="24"/>
                <w:szCs w:val="24"/>
              </w:rPr>
              <w:t>.2020. године</w:t>
            </w:r>
          </w:p>
        </w:tc>
      </w:tr>
      <w:tr w:rsidR="00533564" w:rsidRPr="009B1C7B" w:rsidTr="00855C99">
        <w:trPr>
          <w:trHeight w:val="293"/>
        </w:trPr>
        <w:tc>
          <w:tcPr>
            <w:tcW w:w="4928" w:type="dxa"/>
            <w:vAlign w:val="center"/>
          </w:tcPr>
          <w:p w:rsidR="00533564" w:rsidRPr="00832196" w:rsidRDefault="00533564" w:rsidP="00855C99">
            <w:pPr>
              <w:spacing w:after="0" w:line="240" w:lineRule="auto"/>
              <w:jc w:val="center"/>
              <w:rPr>
                <w:rFonts w:ascii="Times New Roman" w:eastAsia="MS Mincho" w:hAnsi="Times New Roman" w:cs="Times New Roman"/>
                <w:color w:val="000000" w:themeColor="text1"/>
                <w:sz w:val="24"/>
                <w:szCs w:val="24"/>
                <w:lang w:val="sr-Cyrl-CS"/>
              </w:rPr>
            </w:pPr>
            <w:r w:rsidRPr="00832196">
              <w:rPr>
                <w:rFonts w:ascii="Times New Roman" w:eastAsia="MS Mincho" w:hAnsi="Times New Roman" w:cs="Times New Roman"/>
                <w:color w:val="000000" w:themeColor="text1"/>
                <w:sz w:val="24"/>
                <w:szCs w:val="24"/>
                <w:lang w:val="sr-Cyrl-CS"/>
              </w:rPr>
              <w:t>Немањина 22-26, Београд</w:t>
            </w:r>
          </w:p>
        </w:tc>
      </w:tr>
    </w:tbl>
    <w:p w:rsidR="00533564"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80628E" w:rsidRPr="009B1C7B" w:rsidRDefault="0080628E"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533564">
      <w:pPr>
        <w:suppressAutoHyphens/>
        <w:spacing w:after="200" w:line="276" w:lineRule="auto"/>
        <w:rPr>
          <w:rFonts w:ascii="Times New Roman" w:eastAsia="Calibri" w:hAnsi="Times New Roman" w:cs="Times New Roman"/>
          <w:color w:val="000000" w:themeColor="text1"/>
          <w:kern w:val="1"/>
          <w:sz w:val="24"/>
          <w:szCs w:val="24"/>
          <w:lang w:eastAsia="ar-SA"/>
        </w:rPr>
      </w:pPr>
    </w:p>
    <w:p w:rsidR="00533564" w:rsidRPr="009B1C7B" w:rsidRDefault="00533564" w:rsidP="00AA46AD">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DF6D08" w:rsidRDefault="00533564" w:rsidP="00776D6C">
      <w:pPr>
        <w:spacing w:after="0" w:line="240" w:lineRule="auto"/>
        <w:jc w:val="both"/>
        <w:rPr>
          <w:rFonts w:ascii="Times New Roman" w:eastAsia="Calibri" w:hAnsi="Times New Roman" w:cs="Times New Roman"/>
          <w:color w:val="000000" w:themeColor="text1"/>
          <w:kern w:val="1"/>
          <w:sz w:val="24"/>
          <w:szCs w:val="24"/>
          <w:lang w:val="sr-Cyrl-CS" w:eastAsia="ar-SA"/>
        </w:rPr>
      </w:pPr>
      <w:r w:rsidRPr="00E57BB3">
        <w:rPr>
          <w:rFonts w:ascii="Times New Roman" w:eastAsia="Calibri" w:hAnsi="Times New Roman" w:cs="Times New Roman"/>
          <w:b/>
          <w:color w:val="000000" w:themeColor="text1"/>
          <w:kern w:val="1"/>
          <w:sz w:val="24"/>
          <w:szCs w:val="24"/>
          <w:lang w:val="ru-RU" w:eastAsia="ar-SA"/>
        </w:rPr>
        <w:t xml:space="preserve">ПРЕДМЕТ: </w:t>
      </w:r>
      <w:r w:rsidRPr="00E57BB3">
        <w:rPr>
          <w:rFonts w:ascii="Times New Roman" w:eastAsia="Calibri" w:hAnsi="Times New Roman" w:cs="Times New Roman"/>
          <w:b/>
          <w:color w:val="000000" w:themeColor="text1"/>
          <w:kern w:val="1"/>
          <w:sz w:val="24"/>
          <w:szCs w:val="24"/>
          <w:lang w:eastAsia="ar-SA"/>
        </w:rPr>
        <w:t>Појашњење конкурсне документације за</w:t>
      </w:r>
      <w:r w:rsidR="00326098" w:rsidRPr="00E57BB3">
        <w:rPr>
          <w:rFonts w:ascii="Times New Roman" w:eastAsia="Calibri" w:hAnsi="Times New Roman" w:cs="Times New Roman"/>
          <w:b/>
          <w:color w:val="000000" w:themeColor="text1"/>
          <w:kern w:val="1"/>
          <w:sz w:val="24"/>
          <w:szCs w:val="24"/>
          <w:lang w:eastAsia="ar-SA"/>
        </w:rPr>
        <w:t xml:space="preserve"> </w:t>
      </w:r>
      <w:r w:rsidR="00326098" w:rsidRPr="00E57BB3">
        <w:rPr>
          <w:rFonts w:ascii="Times New Roman" w:eastAsia="Calibri" w:hAnsi="Times New Roman" w:cs="Times New Roman"/>
          <w:b/>
          <w:color w:val="000000" w:themeColor="text1"/>
          <w:kern w:val="1"/>
          <w:sz w:val="24"/>
          <w:szCs w:val="24"/>
          <w:lang w:val="sr-Cyrl-CS" w:eastAsia="ar-SA"/>
        </w:rPr>
        <w:t>ЈН</w:t>
      </w:r>
      <w:r w:rsidRPr="00E57BB3">
        <w:rPr>
          <w:rFonts w:ascii="Times New Roman" w:eastAsia="Calibri" w:hAnsi="Times New Roman" w:cs="Times New Roman"/>
          <w:b/>
          <w:color w:val="000000" w:themeColor="text1"/>
          <w:kern w:val="1"/>
          <w:sz w:val="24"/>
          <w:szCs w:val="24"/>
          <w:lang w:eastAsia="ar-SA"/>
        </w:rPr>
        <w:t xml:space="preserve"> </w:t>
      </w:r>
      <w:r w:rsidR="00DF6D08">
        <w:rPr>
          <w:rFonts w:ascii="Times New Roman" w:eastAsia="Calibri" w:hAnsi="Times New Roman" w:cs="Times New Roman"/>
          <w:b/>
          <w:color w:val="000000" w:themeColor="text1"/>
          <w:kern w:val="1"/>
          <w:sz w:val="24"/>
          <w:szCs w:val="24"/>
          <w:lang w:eastAsia="ar-SA"/>
        </w:rPr>
        <w:t>27</w:t>
      </w:r>
      <w:r w:rsidR="00326098" w:rsidRPr="00E57BB3">
        <w:rPr>
          <w:rFonts w:ascii="Times New Roman" w:eastAsia="Calibri" w:hAnsi="Times New Roman" w:cs="Times New Roman"/>
          <w:b/>
          <w:color w:val="000000" w:themeColor="text1"/>
          <w:kern w:val="1"/>
          <w:sz w:val="24"/>
          <w:szCs w:val="24"/>
          <w:lang w:eastAsia="ar-SA"/>
        </w:rPr>
        <w:t>/2020</w:t>
      </w:r>
      <w:r w:rsidR="00AA46AD" w:rsidRPr="00E57BB3">
        <w:rPr>
          <w:rFonts w:ascii="Times New Roman" w:eastAsia="Calibri" w:hAnsi="Times New Roman" w:cs="Times New Roman"/>
          <w:b/>
          <w:color w:val="000000" w:themeColor="text1"/>
          <w:kern w:val="1"/>
          <w:sz w:val="24"/>
          <w:szCs w:val="24"/>
          <w:lang w:val="sr-Cyrl-CS" w:eastAsia="ar-SA"/>
        </w:rPr>
        <w:t xml:space="preserve"> </w:t>
      </w:r>
      <w:r w:rsidR="00326098" w:rsidRPr="00E57BB3">
        <w:rPr>
          <w:rFonts w:ascii="Times New Roman" w:eastAsia="Calibri" w:hAnsi="Times New Roman" w:cs="Times New Roman"/>
          <w:b/>
          <w:color w:val="000000" w:themeColor="text1"/>
          <w:kern w:val="1"/>
          <w:sz w:val="24"/>
          <w:szCs w:val="24"/>
          <w:lang w:eastAsia="ar-SA"/>
        </w:rPr>
        <w:t xml:space="preserve">- </w:t>
      </w:r>
      <w:r w:rsidR="00DF6D08" w:rsidRPr="00DF6D08">
        <w:rPr>
          <w:rFonts w:ascii="Times New Roman" w:hAnsi="Times New Roman" w:cs="Times New Roman"/>
          <w:sz w:val="24"/>
          <w:szCs w:val="24"/>
          <w:lang w:val="sr-Cyrl-CS"/>
        </w:rPr>
        <w:t>у</w:t>
      </w:r>
      <w:r w:rsidR="00DF6D08" w:rsidRPr="00DF6D08">
        <w:rPr>
          <w:rFonts w:ascii="Times New Roman" w:hAnsi="Times New Roman" w:cs="Times New Roman"/>
          <w:sz w:val="24"/>
          <w:szCs w:val="24"/>
          <w:lang w:val="ru-RU"/>
        </w:rPr>
        <w:t xml:space="preserve">слуга стручног надзора над извођењем радова на изградњи </w:t>
      </w:r>
      <w:r w:rsidR="00DF6D08" w:rsidRPr="00DF6D08">
        <w:rPr>
          <w:rFonts w:ascii="Times New Roman" w:hAnsi="Times New Roman" w:cs="Times New Roman"/>
          <w:sz w:val="24"/>
          <w:szCs w:val="24"/>
          <w:lang w:val="sr-Cyrl-RS"/>
        </w:rPr>
        <w:t>саобраћајнице Рума-Шабац-Лозница</w:t>
      </w:r>
      <w:r w:rsidR="00DF6D08" w:rsidRPr="00E57BB3">
        <w:rPr>
          <w:rFonts w:ascii="Times New Roman" w:eastAsia="Calibri" w:hAnsi="Times New Roman" w:cs="Times New Roman"/>
          <w:color w:val="000000" w:themeColor="text1"/>
          <w:kern w:val="1"/>
          <w:sz w:val="24"/>
          <w:szCs w:val="24"/>
          <w:lang w:val="sr-Cyrl-CS" w:eastAsia="ar-SA"/>
        </w:rPr>
        <w:t xml:space="preserve"> </w:t>
      </w:r>
    </w:p>
    <w:p w:rsidR="004B097F" w:rsidRPr="004B5FB3" w:rsidRDefault="00533564" w:rsidP="00776D6C">
      <w:pPr>
        <w:spacing w:after="0" w:line="240" w:lineRule="auto"/>
        <w:jc w:val="both"/>
        <w:rPr>
          <w:rFonts w:ascii="Times New Roman" w:eastAsia="Calibri" w:hAnsi="Times New Roman" w:cs="Times New Roman"/>
          <w:kern w:val="1"/>
          <w:sz w:val="24"/>
          <w:szCs w:val="24"/>
          <w:lang w:val="sr-Cyrl-CS" w:eastAsia="ar-SA"/>
        </w:rPr>
      </w:pPr>
      <w:r w:rsidRPr="00E57BB3">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E57BB3">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p>
    <w:p w:rsidR="00DF6D08" w:rsidRDefault="00DF6D08" w:rsidP="004B097F">
      <w:pPr>
        <w:pStyle w:val="PlainText"/>
        <w:jc w:val="both"/>
        <w:rPr>
          <w:rFonts w:ascii="Times New Roman" w:hAnsi="Times New Roman" w:cs="Times New Roman"/>
          <w:b/>
          <w:sz w:val="24"/>
          <w:szCs w:val="24"/>
          <w:lang w:val="sr-Cyrl-CS"/>
        </w:rPr>
      </w:pPr>
    </w:p>
    <w:p w:rsidR="004B097F" w:rsidRDefault="004B097F" w:rsidP="004B097F">
      <w:pPr>
        <w:pStyle w:val="PlainText"/>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ПИТАЊЕ 1</w:t>
      </w:r>
    </w:p>
    <w:p w:rsidR="00055F54" w:rsidRDefault="00055F54" w:rsidP="004B097F">
      <w:pPr>
        <w:pStyle w:val="PlainText"/>
        <w:jc w:val="both"/>
        <w:rPr>
          <w:rFonts w:ascii="Times New Roman" w:hAnsi="Times New Roman" w:cs="Times New Roman"/>
          <w:b/>
          <w:sz w:val="24"/>
          <w:szCs w:val="24"/>
          <w:lang w:val="sr-Cyrl-CS"/>
        </w:rPr>
      </w:pPr>
    </w:p>
    <w:p w:rsidR="002D2817" w:rsidRPr="002D2817" w:rsidRDefault="002D2817" w:rsidP="002D2817">
      <w:pPr>
        <w:spacing w:after="21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 xml:space="preserve">Будући да је основни циљ предметне јавне набавке реализација </w:t>
      </w:r>
      <w:r w:rsidRPr="002D2817">
        <w:rPr>
          <w:rFonts w:ascii="Times New Roman" w:eastAsia="Times New Roman" w:hAnsi="Times New Roman" w:cs="Times New Roman"/>
          <w:color w:val="000000"/>
          <w:sz w:val="24"/>
          <w:u w:val="single" w:color="000000"/>
        </w:rPr>
        <w:t>Комерцијалног уговора</w:t>
      </w:r>
      <w:r w:rsidRPr="002D2817">
        <w:rPr>
          <w:rFonts w:ascii="Times New Roman" w:eastAsia="Times New Roman" w:hAnsi="Times New Roman" w:cs="Times New Roman"/>
          <w:color w:val="000000"/>
          <w:sz w:val="24"/>
        </w:rPr>
        <w:t xml:space="preserve"> о пројектовању и извођењу радова на пројекту саобраћајнице Рума - Шабац - Лозница (у даљем тексту: Комерцијални уговор), који као такав представља део основне документације у поступку јавне набавке ЈН 27/2020, неопходно је да Наручилац, ради стицања пуног сазнања потенцијалних понуђача о садржају и обиму предмета Уговора о стручном надзору, и целовитог сагледавања њихових обавеза, без чега није могуће квалитетно припремање понуде, на одговарајући начин потенцијалним понуђачима стави на располагање:</w:t>
      </w:r>
    </w:p>
    <w:p w:rsidR="002D2817" w:rsidRPr="002D2817" w:rsidRDefault="002D2817" w:rsidP="002D2817">
      <w:pPr>
        <w:spacing w:after="189"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а) Документацију која је представљала полазну основу за израду Понуде Извођача од 30.10.2019. године и основу за израду Комерцијалног Уговора како је то наведено на страни 5 КД, у одељку III ВРСТА И ОПИС УСЛУГА, НАЧИН СПРОВОЂЕЊА КОНТРОЛЕ, РОК ИЗВРШЕЊА И ПРОЈЕКТНИ ЗАДАТАК, пододељак Пројектни задатак, 2. ЦИЉ УСЛУГЕ, и то: Главни пројекат брзе саобраћајнице Рума-Шабац, Идејно решење моста преко Саве и Идејно решење за израду Плана детаљне регулације за брзу саобраћајницу на деоници Шабац-Лозница,</w:t>
      </w:r>
    </w:p>
    <w:p w:rsidR="002D2817" w:rsidRPr="004E3048" w:rsidRDefault="002D2817" w:rsidP="002D2817">
      <w:pPr>
        <w:spacing w:after="0" w:line="258" w:lineRule="auto"/>
        <w:ind w:left="14"/>
        <w:jc w:val="both"/>
        <w:rPr>
          <w:rFonts w:ascii="Times New Roman" w:eastAsia="Times New Roman" w:hAnsi="Times New Roman" w:cs="Times New Roman"/>
          <w:color w:val="000000"/>
          <w:sz w:val="24"/>
          <w:szCs w:val="24"/>
          <w:lang w:val="sr-Cyrl-CS"/>
        </w:rPr>
      </w:pPr>
      <w:r w:rsidRPr="002D2817">
        <w:rPr>
          <w:rFonts w:ascii="Times New Roman" w:eastAsia="Times New Roman" w:hAnsi="Times New Roman" w:cs="Times New Roman"/>
          <w:color w:val="000000"/>
          <w:sz w:val="26"/>
        </w:rPr>
        <w:t xml:space="preserve">б) </w:t>
      </w:r>
      <w:r w:rsidRPr="002D2817">
        <w:rPr>
          <w:rFonts w:ascii="Times New Roman" w:eastAsia="Times New Roman" w:hAnsi="Times New Roman" w:cs="Times New Roman"/>
          <w:color w:val="000000"/>
          <w:sz w:val="24"/>
          <w:szCs w:val="24"/>
        </w:rPr>
        <w:t>Техничке спецификације и Пројектни задатак/пројектне задатке из Комерцијалног уговора, уколико они нису садржани у документ</w:t>
      </w:r>
      <w:r w:rsidRPr="004E3048">
        <w:rPr>
          <w:rFonts w:ascii="Times New Roman" w:eastAsia="Times New Roman" w:hAnsi="Times New Roman" w:cs="Times New Roman"/>
          <w:color w:val="000000"/>
          <w:sz w:val="24"/>
          <w:szCs w:val="24"/>
        </w:rPr>
        <w:t xml:space="preserve">ацији наведеној у подтачки а), </w:t>
      </w:r>
      <w:r w:rsidRPr="004E3048">
        <w:rPr>
          <w:rFonts w:ascii="Times New Roman" w:eastAsia="Times New Roman" w:hAnsi="Times New Roman" w:cs="Times New Roman"/>
          <w:color w:val="000000"/>
          <w:sz w:val="24"/>
          <w:szCs w:val="24"/>
          <w:lang w:val="sr-Cyrl-CS"/>
        </w:rPr>
        <w:t>и</w:t>
      </w:r>
    </w:p>
    <w:p w:rsidR="002D2817" w:rsidRPr="002D2817" w:rsidRDefault="002D2817" w:rsidP="002D2817">
      <w:pPr>
        <w:spacing w:after="0" w:line="258" w:lineRule="auto"/>
        <w:ind w:left="14"/>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в) Комерцијални уговор (на српском језику) у делу који се односи на права и обавезе Извођача</w:t>
      </w:r>
      <w:r w:rsidR="00C92D7D">
        <w:rPr>
          <w:rFonts w:ascii="Times New Roman" w:eastAsia="Times New Roman" w:hAnsi="Times New Roman" w:cs="Times New Roman"/>
          <w:color w:val="000000"/>
          <w:sz w:val="24"/>
          <w:lang w:val="sr-Cyrl-CS"/>
        </w:rPr>
        <w:t>-</w:t>
      </w:r>
      <w:r w:rsidRPr="002D2817">
        <w:rPr>
          <w:rFonts w:ascii="Times New Roman" w:eastAsia="Times New Roman" w:hAnsi="Times New Roman" w:cs="Times New Roman"/>
          <w:color w:val="000000"/>
          <w:sz w:val="24"/>
        </w:rPr>
        <w:t>Пројектанта у вези са израдом ПГД односно извођењем радова у складу са документацијом наведеном у претходним подтачкама (свакако, без поверљивих података, ако их има).</w:t>
      </w:r>
    </w:p>
    <w:p w:rsidR="002D2817" w:rsidRPr="002D2817" w:rsidRDefault="002D2817" w:rsidP="002D2817">
      <w:pPr>
        <w:spacing w:after="21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Навођењем делова Комерцијалног уговора у Конкурсној документацији не остварује се целовит увид у све податке и околности од значаја за квалитетну израду понуде.</w:t>
      </w:r>
    </w:p>
    <w:p w:rsidR="002D2817" w:rsidRPr="002D2817" w:rsidRDefault="002D2817" w:rsidP="002D2817">
      <w:pPr>
        <w:spacing w:after="17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 xml:space="preserve">Омогућавање потенцијалним понуђачима да остваре увид у тражену документацију представља обавезу Наручиоца прописану чланом 61. став 1. ЗЈН који гласи: „Наручилац је </w:t>
      </w:r>
      <w:r w:rsidRPr="002D2817">
        <w:rPr>
          <w:rFonts w:ascii="Times New Roman" w:eastAsia="Times New Roman" w:hAnsi="Times New Roman" w:cs="Times New Roman"/>
          <w:color w:val="000000"/>
          <w:sz w:val="24"/>
        </w:rPr>
        <w:lastRenderedPageBreak/>
        <w:t>Дужан да припреми конкурсну Документацију тако да понуђачи на основу ње мо</w:t>
      </w:r>
      <w:r w:rsidR="00C92D7D">
        <w:rPr>
          <w:rFonts w:ascii="Times New Roman" w:eastAsia="Times New Roman" w:hAnsi="Times New Roman" w:cs="Times New Roman"/>
          <w:color w:val="000000"/>
          <w:sz w:val="24"/>
        </w:rPr>
        <w:t>гу да припреме прихватљиву понуд</w:t>
      </w:r>
      <w:r w:rsidRPr="002D2817">
        <w:rPr>
          <w:rFonts w:ascii="Times New Roman" w:eastAsia="Times New Roman" w:hAnsi="Times New Roman" w:cs="Times New Roman"/>
          <w:color w:val="000000"/>
          <w:sz w:val="24"/>
        </w:rPr>
        <w:t>у.</w:t>
      </w:r>
      <w:r w:rsidRPr="002D2817">
        <w:rPr>
          <w:rFonts w:ascii="Times New Roman" w:eastAsia="Times New Roman" w:hAnsi="Times New Roman" w:cs="Times New Roman"/>
          <w:noProof/>
          <w:color w:val="000000"/>
          <w:sz w:val="24"/>
        </w:rPr>
        <w:drawing>
          <wp:inline distT="0" distB="0" distL="0" distR="0" wp14:anchorId="7744F7F8" wp14:editId="2BE9D08B">
            <wp:extent cx="51819" cy="33530"/>
            <wp:effectExtent l="0" t="0" r="0" b="0"/>
            <wp:docPr id="35567" name="Picture 35567"/>
            <wp:cNvGraphicFramePr/>
            <a:graphic xmlns:a="http://schemas.openxmlformats.org/drawingml/2006/main">
              <a:graphicData uri="http://schemas.openxmlformats.org/drawingml/2006/picture">
                <pic:pic xmlns:pic="http://schemas.openxmlformats.org/drawingml/2006/picture">
                  <pic:nvPicPr>
                    <pic:cNvPr id="35567" name="Picture 35567"/>
                    <pic:cNvPicPr/>
                  </pic:nvPicPr>
                  <pic:blipFill>
                    <a:blip r:embed="rId9"/>
                    <a:stretch>
                      <a:fillRect/>
                    </a:stretch>
                  </pic:blipFill>
                  <pic:spPr>
                    <a:xfrm>
                      <a:off x="0" y="0"/>
                      <a:ext cx="51819" cy="33530"/>
                    </a:xfrm>
                    <a:prstGeom prst="rect">
                      <a:avLst/>
                    </a:prstGeom>
                  </pic:spPr>
                </pic:pic>
              </a:graphicData>
            </a:graphic>
          </wp:inline>
        </w:drawing>
      </w:r>
    </w:p>
    <w:p w:rsidR="002D2817" w:rsidRPr="002D2817" w:rsidRDefault="002D2817" w:rsidP="002D2817">
      <w:pPr>
        <w:spacing w:after="21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ПРЕДЛОГ:</w:t>
      </w:r>
    </w:p>
    <w:p w:rsidR="002D2817" w:rsidRDefault="002D2817" w:rsidP="00C92D7D">
      <w:pPr>
        <w:spacing w:after="11"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Потребно је да Наручилац, због обимности и сложености документације коју додатно ставља на увид потенцијалним понуђачима, продужи рок за достављање понуда за још минимум 15 дана, рачунајући од</w:t>
      </w:r>
      <w:r w:rsidR="00C92D7D">
        <w:rPr>
          <w:rFonts w:ascii="Times New Roman" w:eastAsia="Times New Roman" w:hAnsi="Times New Roman" w:cs="Times New Roman"/>
          <w:color w:val="000000"/>
          <w:sz w:val="24"/>
          <w:lang w:val="sr-Cyrl-CS"/>
        </w:rPr>
        <w:t xml:space="preserve"> </w:t>
      </w:r>
      <w:r w:rsidRPr="002D2817">
        <w:rPr>
          <w:rFonts w:ascii="Times New Roman" w:eastAsia="Times New Roman" w:hAnsi="Times New Roman" w:cs="Times New Roman"/>
          <w:color w:val="000000"/>
          <w:sz w:val="24"/>
        </w:rPr>
        <w:t>16.10.2010. године.</w:t>
      </w:r>
    </w:p>
    <w:p w:rsidR="00C92D7D" w:rsidRDefault="00C92D7D" w:rsidP="002D2817">
      <w:pPr>
        <w:spacing w:after="0" w:line="267" w:lineRule="auto"/>
        <w:ind w:left="23" w:right="4"/>
        <w:jc w:val="both"/>
        <w:rPr>
          <w:rFonts w:ascii="Times New Roman" w:eastAsia="Times New Roman" w:hAnsi="Times New Roman" w:cs="Times New Roman"/>
          <w:b/>
          <w:color w:val="FF0000"/>
          <w:sz w:val="24"/>
          <w:lang w:val="sr-Cyrl-CS"/>
        </w:rPr>
      </w:pPr>
    </w:p>
    <w:p w:rsidR="002D2817" w:rsidRPr="006E7752" w:rsidRDefault="002D2817" w:rsidP="002D2817">
      <w:pPr>
        <w:spacing w:after="0" w:line="267" w:lineRule="auto"/>
        <w:ind w:left="23" w:right="4"/>
        <w:jc w:val="both"/>
        <w:rPr>
          <w:rFonts w:ascii="Times New Roman" w:eastAsia="Times New Roman" w:hAnsi="Times New Roman" w:cs="Times New Roman"/>
          <w:b/>
          <w:sz w:val="24"/>
          <w:lang w:val="sr-Cyrl-CS"/>
        </w:rPr>
      </w:pPr>
      <w:r w:rsidRPr="006E7752">
        <w:rPr>
          <w:rFonts w:ascii="Times New Roman" w:eastAsia="Times New Roman" w:hAnsi="Times New Roman" w:cs="Times New Roman"/>
          <w:b/>
          <w:sz w:val="24"/>
          <w:lang w:val="sr-Cyrl-CS"/>
        </w:rPr>
        <w:t>ОДГОВОР</w:t>
      </w:r>
    </w:p>
    <w:p w:rsidR="00B66D7D" w:rsidRDefault="00111089" w:rsidP="00111089">
      <w:pPr>
        <w:spacing w:line="252" w:lineRule="auto"/>
        <w:jc w:val="both"/>
        <w:rPr>
          <w:rFonts w:ascii="Times New Roman" w:hAnsi="Times New Roman" w:cs="Times New Roman"/>
          <w:sz w:val="24"/>
          <w:szCs w:val="24"/>
          <w:lang w:val="sr-Cyrl-CS"/>
        </w:rPr>
      </w:pPr>
      <w:r>
        <w:rPr>
          <w:rFonts w:ascii="Times New Roman" w:hAnsi="Times New Roman" w:cs="Times New Roman"/>
          <w:bCs/>
          <w:sz w:val="24"/>
          <w:szCs w:val="24"/>
          <w:lang w:val="sr-Cyrl-CS"/>
        </w:rPr>
        <w:t>Следи измен</w:t>
      </w:r>
      <w:r w:rsidR="00B66D7D">
        <w:rPr>
          <w:rFonts w:ascii="Times New Roman" w:hAnsi="Times New Roman" w:cs="Times New Roman"/>
          <w:bCs/>
          <w:sz w:val="24"/>
          <w:szCs w:val="24"/>
          <w:lang w:val="sr-Cyrl-CS"/>
        </w:rPr>
        <w:t>а конкурсне документације тако ш</w:t>
      </w:r>
      <w:r>
        <w:rPr>
          <w:rFonts w:ascii="Times New Roman" w:hAnsi="Times New Roman" w:cs="Times New Roman"/>
          <w:bCs/>
          <w:sz w:val="24"/>
          <w:szCs w:val="24"/>
          <w:lang w:val="sr-Cyrl-CS"/>
        </w:rPr>
        <w:t>то се додаје текст „</w:t>
      </w:r>
      <w:r w:rsidRPr="007F1AC1">
        <w:rPr>
          <w:rFonts w:ascii="Times New Roman" w:hAnsi="Times New Roman" w:cs="Times New Roman"/>
          <w:bCs/>
          <w:sz w:val="24"/>
          <w:szCs w:val="24"/>
          <w:lang w:val="sr-Cyrl-CS"/>
        </w:rPr>
        <w:t xml:space="preserve">Сва заинтересована лица могу извршити </w:t>
      </w:r>
      <w:r>
        <w:rPr>
          <w:rFonts w:ascii="Times New Roman" w:hAnsi="Times New Roman" w:cs="Times New Roman"/>
          <w:bCs/>
          <w:sz w:val="24"/>
          <w:szCs w:val="24"/>
          <w:lang w:val="sr-Cyrl-CS"/>
        </w:rPr>
        <w:t>увид у документацију</w:t>
      </w:r>
      <w:r w:rsidR="00B66D7D">
        <w:rPr>
          <w:rFonts w:ascii="Times New Roman" w:hAnsi="Times New Roman" w:cs="Times New Roman"/>
          <w:bCs/>
          <w:sz w:val="24"/>
          <w:szCs w:val="24"/>
          <w:lang w:val="sr-Cyrl-CS"/>
        </w:rPr>
        <w:t xml:space="preserve"> дана </w:t>
      </w:r>
      <w:r w:rsidR="00B66D7D">
        <w:rPr>
          <w:rFonts w:ascii="Times New Roman" w:hAnsi="Times New Roman" w:cs="Times New Roman"/>
          <w:bCs/>
          <w:sz w:val="24"/>
          <w:szCs w:val="24"/>
        </w:rPr>
        <w:t xml:space="preserve">09.10.2020. </w:t>
      </w:r>
      <w:r w:rsidR="00B66D7D">
        <w:rPr>
          <w:rFonts w:ascii="Times New Roman" w:hAnsi="Times New Roman" w:cs="Times New Roman"/>
          <w:bCs/>
          <w:sz w:val="24"/>
          <w:szCs w:val="24"/>
          <w:lang w:val="sr-Cyrl-CS"/>
        </w:rPr>
        <w:t>године</w:t>
      </w:r>
      <w:r>
        <w:rPr>
          <w:rFonts w:ascii="Times New Roman" w:hAnsi="Times New Roman" w:cs="Times New Roman"/>
          <w:bCs/>
          <w:sz w:val="24"/>
          <w:szCs w:val="24"/>
          <w:lang w:val="sr-Cyrl-CS"/>
        </w:rPr>
        <w:t xml:space="preserve"> </w:t>
      </w:r>
      <w:r w:rsidR="00B66D7D">
        <w:rPr>
          <w:rFonts w:ascii="Times New Roman" w:hAnsi="Times New Roman" w:cs="Times New Roman"/>
          <w:bCs/>
          <w:sz w:val="24"/>
          <w:szCs w:val="24"/>
          <w:lang w:val="sr-Cyrl-CS"/>
        </w:rPr>
        <w:t xml:space="preserve">у периоду од 12 до 13 часова </w:t>
      </w:r>
      <w:r w:rsidRPr="007F1AC1">
        <w:rPr>
          <w:rFonts w:ascii="Times New Roman" w:hAnsi="Times New Roman" w:cs="Times New Roman"/>
          <w:sz w:val="24"/>
          <w:szCs w:val="24"/>
          <w:lang w:val="sr-Cyrl-CS"/>
        </w:rPr>
        <w:t xml:space="preserve">уз претходну најаву </w:t>
      </w:r>
      <w:r w:rsidR="00B66D7D">
        <w:rPr>
          <w:rFonts w:ascii="Times New Roman" w:hAnsi="Times New Roman" w:cs="Times New Roman"/>
          <w:sz w:val="24"/>
          <w:szCs w:val="24"/>
          <w:lang w:val="sr-Cyrl-CS"/>
        </w:rPr>
        <w:t>један дан раније са</w:t>
      </w:r>
      <w:r w:rsidRPr="007F1AC1">
        <w:rPr>
          <w:rFonts w:ascii="Times New Roman" w:hAnsi="Times New Roman" w:cs="Times New Roman"/>
          <w:sz w:val="24"/>
          <w:szCs w:val="24"/>
          <w:lang w:val="sr-Cyrl-CS"/>
        </w:rPr>
        <w:t xml:space="preserve"> захтевом који мора садржати име, презиме, функцију</w:t>
      </w:r>
      <w:r w:rsidRPr="007F1AC1">
        <w:rPr>
          <w:rFonts w:ascii="Times New Roman" w:hAnsi="Times New Roman" w:cs="Times New Roman"/>
          <w:sz w:val="24"/>
          <w:szCs w:val="24"/>
        </w:rPr>
        <w:t>,</w:t>
      </w:r>
      <w:r w:rsidR="00B66D7D">
        <w:rPr>
          <w:rFonts w:ascii="Times New Roman" w:hAnsi="Times New Roman" w:cs="Times New Roman"/>
          <w:sz w:val="24"/>
          <w:szCs w:val="24"/>
          <w:lang w:val="sr-Cyrl-CS"/>
        </w:rPr>
        <w:t xml:space="preserve"> овлашћење заинтересованих лица</w:t>
      </w:r>
      <w:r w:rsidRPr="007F1AC1">
        <w:rPr>
          <w:rFonts w:ascii="Times New Roman" w:hAnsi="Times New Roman" w:cs="Times New Roman"/>
          <w:sz w:val="24"/>
          <w:szCs w:val="24"/>
          <w:lang w:val="sr-Cyrl-CS"/>
        </w:rPr>
        <w:t xml:space="preserve">.  </w:t>
      </w:r>
    </w:p>
    <w:p w:rsidR="002D2817" w:rsidRPr="00111089" w:rsidRDefault="00111089" w:rsidP="00111089">
      <w:pPr>
        <w:spacing w:line="252" w:lineRule="auto"/>
        <w:jc w:val="both"/>
        <w:rPr>
          <w:rFonts w:ascii="Times New Roman" w:hAnsi="Times New Roman" w:cs="Times New Roman"/>
          <w:sz w:val="24"/>
          <w:szCs w:val="24"/>
          <w:lang w:val="sr-Cyrl-CS"/>
        </w:rPr>
      </w:pPr>
      <w:r w:rsidRPr="007F1AC1">
        <w:rPr>
          <w:rFonts w:ascii="Times New Roman" w:hAnsi="Times New Roman" w:cs="Times New Roman"/>
          <w:sz w:val="24"/>
          <w:szCs w:val="24"/>
          <w:lang w:val="sr-Cyrl-CS"/>
        </w:rPr>
        <w:t>Пријаве послати на е</w:t>
      </w:r>
      <w:r w:rsidRPr="007F1AC1">
        <w:rPr>
          <w:rFonts w:ascii="Times New Roman" w:hAnsi="Times New Roman" w:cs="Times New Roman"/>
          <w:kern w:val="1"/>
          <w:sz w:val="24"/>
          <w:szCs w:val="24"/>
          <w:lang w:val="sr-Cyrl-CS"/>
        </w:rPr>
        <w:t xml:space="preserve">-mail адресу: </w:t>
      </w:r>
      <w:hyperlink r:id="rId10" w:history="1">
        <w:r w:rsidRPr="007F1AC1">
          <w:rPr>
            <w:rStyle w:val="Hyperlink"/>
            <w:rFonts w:ascii="Times New Roman" w:hAnsi="Times New Roman" w:cs="Times New Roman"/>
            <w:sz w:val="24"/>
            <w:szCs w:val="24"/>
          </w:rPr>
          <w:t>tatjana.radukic@mgsi.gov.rs</w:t>
        </w:r>
      </w:hyperlink>
      <w:r w:rsidRPr="007F1AC1">
        <w:rPr>
          <w:rStyle w:val="Hyperlink"/>
          <w:rFonts w:ascii="Times New Roman" w:hAnsi="Times New Roman" w:cs="Times New Roman"/>
          <w:sz w:val="24"/>
          <w:szCs w:val="24"/>
          <w:lang w:val="sr-Cyrl-CS"/>
        </w:rPr>
        <w:t>.</w:t>
      </w:r>
      <w:r>
        <w:rPr>
          <w:rStyle w:val="Hyperlink"/>
          <w:rFonts w:ascii="Times New Roman" w:hAnsi="Times New Roman" w:cs="Times New Roman"/>
          <w:sz w:val="24"/>
          <w:szCs w:val="24"/>
          <w:lang w:val="sr-Cyrl-CS"/>
        </w:rPr>
        <w:t>“</w:t>
      </w:r>
    </w:p>
    <w:p w:rsidR="002D2817" w:rsidRPr="00457DCF" w:rsidRDefault="00457DCF" w:rsidP="002D2817">
      <w:pPr>
        <w:spacing w:after="210" w:line="267" w:lineRule="auto"/>
        <w:ind w:left="14" w:right="4" w:firstLine="9"/>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Рок за отва</w:t>
      </w:r>
      <w:r w:rsidR="00111089">
        <w:rPr>
          <w:rFonts w:ascii="Times New Roman" w:eastAsia="Times New Roman" w:hAnsi="Times New Roman" w:cs="Times New Roman"/>
          <w:color w:val="000000"/>
          <w:sz w:val="24"/>
          <w:lang w:val="sr-Cyrl-CS"/>
        </w:rPr>
        <w:t>р</w:t>
      </w:r>
      <w:r>
        <w:rPr>
          <w:rFonts w:ascii="Times New Roman" w:eastAsia="Times New Roman" w:hAnsi="Times New Roman" w:cs="Times New Roman"/>
          <w:color w:val="000000"/>
          <w:sz w:val="24"/>
          <w:lang w:val="sr-Cyrl-CS"/>
        </w:rPr>
        <w:t xml:space="preserve">ање понуда </w:t>
      </w:r>
      <w:r w:rsidR="00B66D7D">
        <w:rPr>
          <w:rFonts w:ascii="Times New Roman" w:eastAsia="Times New Roman" w:hAnsi="Times New Roman" w:cs="Times New Roman"/>
          <w:color w:val="000000"/>
          <w:sz w:val="24"/>
          <w:lang w:val="sr-Cyrl-CS"/>
        </w:rPr>
        <w:t>се помера за 26.10</w:t>
      </w:r>
      <w:r>
        <w:rPr>
          <w:rFonts w:ascii="Times New Roman" w:eastAsia="Times New Roman" w:hAnsi="Times New Roman" w:cs="Times New Roman"/>
          <w:color w:val="000000"/>
          <w:sz w:val="24"/>
          <w:lang w:val="sr-Cyrl-CS"/>
        </w:rPr>
        <w:t>.2020. године.</w:t>
      </w:r>
    </w:p>
    <w:p w:rsidR="002D2817" w:rsidRPr="002D2817" w:rsidRDefault="002D2817" w:rsidP="002D2817">
      <w:pPr>
        <w:spacing w:after="193" w:line="258" w:lineRule="auto"/>
        <w:ind w:left="14"/>
        <w:rPr>
          <w:rFonts w:ascii="Times New Roman" w:eastAsia="Times New Roman" w:hAnsi="Times New Roman" w:cs="Times New Roman"/>
          <w:b/>
          <w:color w:val="000000"/>
          <w:sz w:val="24"/>
        </w:rPr>
      </w:pPr>
      <w:r w:rsidRPr="002D2817">
        <w:rPr>
          <w:rFonts w:ascii="Times New Roman" w:eastAsia="Times New Roman" w:hAnsi="Times New Roman" w:cs="Times New Roman"/>
          <w:b/>
          <w:color w:val="000000"/>
          <w:sz w:val="26"/>
        </w:rPr>
        <w:t xml:space="preserve">ПИТАЊЕ </w:t>
      </w:r>
      <w:r>
        <w:rPr>
          <w:rFonts w:ascii="Times New Roman" w:eastAsia="Times New Roman" w:hAnsi="Times New Roman" w:cs="Times New Roman"/>
          <w:b/>
          <w:color w:val="000000"/>
          <w:sz w:val="26"/>
        </w:rPr>
        <w:t>2</w:t>
      </w: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Непосредан увид у документацију наведену у Питању бр. 1 неопходан је и ради процене оправданости задатог обима контролних лабораторијских испитивања у КД. Наиме, упоређивањем врсте и обима лабораторијских опита наведених у КД са врстом и обимом активности које ће у вези са тим испитивањима предузимати Пројектант и Извођач на основу Комерцијалног уговора, може се утврдити да ли постоји несразмера њихових обавеза у погледу тих испитивања.</w:t>
      </w: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Подносилац захтева сматра да није ни оправдано нити логично тражити од Стручног надзора више него што је тражено од Пројектанта и Извођача, а поготову не више него што је то оптимално и реално потребно да би се извршио Уговор о јавној набавци пружања услуге стручног надзора. Тврдња Наручиоца (Одговор бр. 404-02-73/6/2020-02 од 28.09.2020. године) да ће Пројектом за добијање грађевинске дозволе и Пројектом за извођење радова бити дефинисани врста и обим текућих испитивања од стране Пројектанта-Извођача само додатно релативизује ово питање дајући му неизвесност будућег догађаја. Подносилац Захтева сматра, на основу свог дугогодишњег искуства и доказаних професионалних резултата, да се једино увидом у комплетну оригиналну документацију са свим њеним техничким подацима и графичким прилозима (којих нема у КД), заједно са подацима садржаним у КД, може свеобухватно и стручно сагледати предмет Уговора о вршењу стручног надзора.</w:t>
      </w: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Максимизирање броја опита преко неопходне мере у супротности је са одредбом члана 76. став 6. ЗЈН, којом је прописано да наручилац одређује додатне услове за учешће у поступку тако да ти услови не дискриминишу понуђаче и да су у логичкој вези са предметом јавне набавке“</w:t>
      </w:r>
      <w:r w:rsidRPr="002D2817">
        <w:rPr>
          <w:rFonts w:ascii="Times New Roman" w:eastAsia="Times New Roman" w:hAnsi="Times New Roman" w:cs="Times New Roman"/>
          <w:noProof/>
          <w:color w:val="000000"/>
          <w:sz w:val="24"/>
        </w:rPr>
        <w:drawing>
          <wp:inline distT="0" distB="0" distL="0" distR="0" wp14:anchorId="458021B3" wp14:editId="5F99ACF0">
            <wp:extent cx="18289" cy="18289"/>
            <wp:effectExtent l="0" t="0" r="0" b="0"/>
            <wp:docPr id="6253" name="Picture 6253"/>
            <wp:cNvGraphicFramePr/>
            <a:graphic xmlns:a="http://schemas.openxmlformats.org/drawingml/2006/main">
              <a:graphicData uri="http://schemas.openxmlformats.org/drawingml/2006/picture">
                <pic:pic xmlns:pic="http://schemas.openxmlformats.org/drawingml/2006/picture">
                  <pic:nvPicPr>
                    <pic:cNvPr id="6253" name="Picture 6253"/>
                    <pic:cNvPicPr/>
                  </pic:nvPicPr>
                  <pic:blipFill>
                    <a:blip r:embed="rId11"/>
                    <a:stretch>
                      <a:fillRect/>
                    </a:stretch>
                  </pic:blipFill>
                  <pic:spPr>
                    <a:xfrm>
                      <a:off x="0" y="0"/>
                      <a:ext cx="18289" cy="18289"/>
                    </a:xfrm>
                    <a:prstGeom prst="rect">
                      <a:avLst/>
                    </a:prstGeom>
                  </pic:spPr>
                </pic:pic>
              </a:graphicData>
            </a:graphic>
          </wp:inline>
        </w:drawing>
      </w:r>
    </w:p>
    <w:p w:rsidR="002D2817" w:rsidRPr="002D2817" w:rsidRDefault="002D2817" w:rsidP="00C92D7D">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Тврдња Наручиоца изнета у Одговору бр. 404-02-73/6/2020-02 од 28.09.2020. го</w:t>
      </w:r>
      <w:r w:rsidR="00C92D7D">
        <w:rPr>
          <w:rFonts w:ascii="Times New Roman" w:eastAsia="Times New Roman" w:hAnsi="Times New Roman" w:cs="Times New Roman"/>
          <w:color w:val="000000"/>
          <w:sz w:val="24"/>
        </w:rPr>
        <w:t>дине, која гласи: ”Критеријум од</w:t>
      </w:r>
      <w:r w:rsidRPr="002D2817">
        <w:rPr>
          <w:rFonts w:ascii="Times New Roman" w:eastAsia="Times New Roman" w:hAnsi="Times New Roman" w:cs="Times New Roman"/>
          <w:color w:val="000000"/>
          <w:sz w:val="24"/>
        </w:rPr>
        <w:t>еђивања о</w:t>
      </w:r>
      <w:r w:rsidR="00C92D7D">
        <w:rPr>
          <w:rFonts w:ascii="Times New Roman" w:eastAsia="Times New Roman" w:hAnsi="Times New Roman" w:cs="Times New Roman"/>
          <w:color w:val="000000"/>
          <w:sz w:val="24"/>
        </w:rPr>
        <w:t>бима захтеваних испитивања се од</w:t>
      </w:r>
      <w:r w:rsidRPr="002D2817">
        <w:rPr>
          <w:rFonts w:ascii="Times New Roman" w:eastAsia="Times New Roman" w:hAnsi="Times New Roman" w:cs="Times New Roman"/>
          <w:color w:val="000000"/>
          <w:sz w:val="24"/>
        </w:rPr>
        <w:t>еђује само на осн</w:t>
      </w:r>
      <w:r w:rsidR="00C92D7D">
        <w:rPr>
          <w:rFonts w:ascii="Times New Roman" w:eastAsia="Times New Roman" w:hAnsi="Times New Roman" w:cs="Times New Roman"/>
          <w:color w:val="000000"/>
          <w:sz w:val="24"/>
        </w:rPr>
        <w:t xml:space="preserve">ову врсте </w:t>
      </w:r>
      <w:r w:rsidR="00C92D7D">
        <w:rPr>
          <w:rFonts w:ascii="Times New Roman" w:eastAsia="Times New Roman" w:hAnsi="Times New Roman" w:cs="Times New Roman"/>
          <w:color w:val="000000"/>
          <w:sz w:val="24"/>
        </w:rPr>
        <w:lastRenderedPageBreak/>
        <w:t>и обима рад</w:t>
      </w:r>
      <w:r w:rsidRPr="002D2817">
        <w:rPr>
          <w:rFonts w:ascii="Times New Roman" w:eastAsia="Times New Roman" w:hAnsi="Times New Roman" w:cs="Times New Roman"/>
          <w:color w:val="000000"/>
          <w:sz w:val="24"/>
        </w:rPr>
        <w:t>ова које је потребно извести. ”, је сасвим уопштена и недовољна да оспори раније изнете наводе подносиоца Захтева да је тражени обим контролних лабораторијских испитивања претеран и да се на тај начин сасвим очигледно повређује начело обезбеђивања конкуренције (члан 10. ЗЈН), начело једнакости понуђача (члан 12. ЗЈН) и, да поновимо, поступа супротно члану 76. став 6 ЗЈН. Наведена тврдња Наручиоца је</w:t>
      </w:r>
      <w:r w:rsidR="00C92D7D">
        <w:rPr>
          <w:rFonts w:ascii="Times New Roman" w:eastAsia="Times New Roman" w:hAnsi="Times New Roman" w:cs="Times New Roman"/>
          <w:color w:val="000000"/>
          <w:sz w:val="24"/>
          <w:lang w:val="sr-Cyrl-CS"/>
        </w:rPr>
        <w:t xml:space="preserve"> </w:t>
      </w:r>
      <w:r w:rsidRPr="002D2817">
        <w:rPr>
          <w:rFonts w:ascii="Times New Roman" w:eastAsia="Times New Roman" w:hAnsi="Times New Roman" w:cs="Times New Roman"/>
          <w:color w:val="000000"/>
          <w:sz w:val="24"/>
        </w:rPr>
        <w:t>необразложена и неутемељена у стварним потребама посла који треба обавити. Лабораторијска испитивања наведена у доњој табели, чијим је увођењем у списак акредитованих контролних опита сасвим неуобичајено и без икаквог оправдања увећан обим испитивања, ни на који начин не могу утицати на квалитет извршења уговора (коментар стављен у прилогу табеле из тачке 1 ПРЕДЛОГ). Хипотетички посматрано, могуће је у недоглед повећавати број опита и сваки од њих доводити у везу са врстом и обимом радова, али то је потпуно супротно духу и правној логици ЗЈН. Да поменемо да је таква активност супротна Закону и у погледу поштовања начела ефикасности и економичности (члан 9. ЗЈН), јер продужава време реализације капиталних пројеката од државног значаја производећи спорне ситуације и иницирајући покретање поступака за заштиту права.</w:t>
      </w:r>
    </w:p>
    <w:p w:rsidR="002D2817" w:rsidRDefault="002D2817" w:rsidP="002D2817">
      <w:pPr>
        <w:spacing w:after="0" w:line="267" w:lineRule="auto"/>
        <w:ind w:left="14" w:right="4" w:firstLine="9"/>
        <w:jc w:val="both"/>
        <w:rPr>
          <w:rFonts w:ascii="Times New Roman" w:eastAsia="Times New Roman" w:hAnsi="Times New Roman" w:cs="Times New Roman"/>
          <w:color w:val="000000"/>
          <w:sz w:val="24"/>
        </w:rPr>
      </w:pPr>
    </w:p>
    <w:p w:rsid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ПРЕДЛОГ:</w:t>
      </w: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На основу изнетог, подносилац Захтева предлаже:</w:t>
      </w:r>
    </w:p>
    <w:p w:rsidR="002D2817" w:rsidRPr="002D2817" w:rsidRDefault="002D2817" w:rsidP="002D2817">
      <w:pPr>
        <w:numPr>
          <w:ilvl w:val="0"/>
          <w:numId w:val="8"/>
        </w:numPr>
        <w:spacing w:after="0" w:line="267" w:lineRule="auto"/>
        <w:ind w:right="4"/>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Да Наручилац смањи обим тражених контролних испитивања, тако што ће из Табеле: „Минимални</w:t>
      </w:r>
      <w:r w:rsidR="00C92D7D">
        <w:rPr>
          <w:rFonts w:ascii="Times New Roman" w:eastAsia="Times New Roman" w:hAnsi="Times New Roman" w:cs="Times New Roman"/>
          <w:color w:val="000000"/>
          <w:sz w:val="24"/>
        </w:rPr>
        <w:t xml:space="preserve"> обим испитивања контролне акред</w:t>
      </w:r>
      <w:r w:rsidRPr="002D2817">
        <w:rPr>
          <w:rFonts w:ascii="Times New Roman" w:eastAsia="Times New Roman" w:hAnsi="Times New Roman" w:cs="Times New Roman"/>
          <w:color w:val="000000"/>
          <w:sz w:val="24"/>
        </w:rPr>
        <w:t>итоване лабораторије” уклонити доле наведена испитивања, и извршити измене КД у складу са тим:</w:t>
      </w:r>
    </w:p>
    <w:tbl>
      <w:tblPr>
        <w:tblStyle w:val="TableGrid"/>
        <w:tblW w:w="10046" w:type="dxa"/>
        <w:tblInd w:w="157" w:type="dxa"/>
        <w:tblCellMar>
          <w:top w:w="55" w:type="dxa"/>
          <w:left w:w="107" w:type="dxa"/>
          <w:right w:w="104" w:type="dxa"/>
        </w:tblCellMar>
        <w:tblLook w:val="04A0" w:firstRow="1" w:lastRow="0" w:firstColumn="1" w:lastColumn="0" w:noHBand="0" w:noVBand="1"/>
      </w:tblPr>
      <w:tblGrid>
        <w:gridCol w:w="989"/>
        <w:gridCol w:w="9057"/>
      </w:tblGrid>
      <w:tr w:rsidR="002D2817" w:rsidRPr="002D2817" w:rsidTr="002D2817">
        <w:trPr>
          <w:trHeight w:val="526"/>
        </w:trPr>
        <w:tc>
          <w:tcPr>
            <w:tcW w:w="989" w:type="dxa"/>
            <w:tcBorders>
              <w:top w:val="single" w:sz="2" w:space="0" w:color="000000"/>
              <w:left w:val="single" w:sz="2" w:space="0" w:color="000000"/>
              <w:bottom w:val="single" w:sz="2" w:space="0" w:color="000000"/>
              <w:right w:val="single" w:sz="2" w:space="0" w:color="000000"/>
            </w:tcBorders>
          </w:tcPr>
          <w:p w:rsidR="002D2817" w:rsidRPr="002D2817" w:rsidRDefault="002D2817" w:rsidP="002D2817">
            <w:pPr>
              <w:rPr>
                <w:rFonts w:ascii="Times New Roman" w:eastAsia="Times New Roman" w:hAnsi="Times New Roman" w:cs="Times New Roman"/>
                <w:color w:val="000000"/>
                <w:sz w:val="24"/>
                <w:szCs w:val="24"/>
              </w:rPr>
            </w:pPr>
          </w:p>
        </w:tc>
        <w:tc>
          <w:tcPr>
            <w:tcW w:w="9057" w:type="dxa"/>
            <w:tcBorders>
              <w:top w:val="single" w:sz="2" w:space="0" w:color="000000"/>
              <w:left w:val="single" w:sz="2" w:space="0" w:color="000000"/>
              <w:bottom w:val="single" w:sz="2" w:space="0" w:color="000000"/>
              <w:right w:val="single" w:sz="2" w:space="0" w:color="000000"/>
            </w:tcBorders>
          </w:tcPr>
          <w:p w:rsidR="002D2817" w:rsidRPr="002D2817" w:rsidRDefault="002D2817" w:rsidP="002D2817">
            <w:pPr>
              <w:ind w:right="10"/>
              <w:jc w:val="center"/>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Назив испитивања</w:t>
            </w:r>
          </w:p>
        </w:tc>
      </w:tr>
      <w:tr w:rsidR="002D2817" w:rsidRPr="002D2817" w:rsidTr="002D2817">
        <w:trPr>
          <w:trHeight w:val="640"/>
        </w:trPr>
        <w:tc>
          <w:tcPr>
            <w:tcW w:w="989"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5"/>
              <w:jc w:val="center"/>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13</w:t>
            </w:r>
          </w:p>
        </w:tc>
        <w:tc>
          <w:tcPr>
            <w:tcW w:w="9057"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Динамичко пенетрационо испитивање СРПС ЕН ИСО 22476-2,</w:t>
            </w:r>
          </w:p>
        </w:tc>
      </w:tr>
      <w:tr w:rsidR="002D2817" w:rsidRPr="002D2817" w:rsidTr="002D2817">
        <w:trPr>
          <w:trHeight w:val="646"/>
        </w:trPr>
        <w:tc>
          <w:tcPr>
            <w:tcW w:w="989"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jc w:val="center"/>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15</w:t>
            </w:r>
          </w:p>
        </w:tc>
        <w:tc>
          <w:tcPr>
            <w:tcW w:w="9057"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Одређивање интегритета ши</w:t>
            </w:r>
            <w:r w:rsidR="00C92D7D">
              <w:rPr>
                <w:rFonts w:ascii="Times New Roman" w:eastAsia="Times New Roman" w:hAnsi="Times New Roman" w:cs="Times New Roman"/>
                <w:color w:val="000000"/>
                <w:sz w:val="24"/>
                <w:szCs w:val="24"/>
              </w:rPr>
              <w:t xml:space="preserve">пова методом чекића према АСТМ </w:t>
            </w:r>
            <w:r w:rsidR="00C92D7D">
              <w:rPr>
                <w:rFonts w:ascii="Times New Roman" w:eastAsia="Times New Roman" w:hAnsi="Times New Roman" w:cs="Times New Roman"/>
                <w:color w:val="000000"/>
                <w:sz w:val="24"/>
                <w:szCs w:val="24"/>
                <w:lang w:val="sr-Cyrl-CS"/>
              </w:rPr>
              <w:t>Д</w:t>
            </w:r>
            <w:r w:rsidR="00C92D7D">
              <w:rPr>
                <w:rFonts w:ascii="Times New Roman" w:eastAsia="Times New Roman" w:hAnsi="Times New Roman" w:cs="Times New Roman"/>
                <w:color w:val="000000"/>
                <w:sz w:val="24"/>
                <w:szCs w:val="24"/>
              </w:rPr>
              <w:t>5</w:t>
            </w:r>
            <w:r w:rsidRPr="002D2817">
              <w:rPr>
                <w:rFonts w:ascii="Times New Roman" w:eastAsia="Times New Roman" w:hAnsi="Times New Roman" w:cs="Times New Roman"/>
                <w:color w:val="000000"/>
                <w:sz w:val="24"/>
                <w:szCs w:val="24"/>
              </w:rPr>
              <w:t>882-07,</w:t>
            </w:r>
          </w:p>
        </w:tc>
      </w:tr>
      <w:tr w:rsidR="002D2817" w:rsidRPr="002D2817" w:rsidTr="002D2817">
        <w:trPr>
          <w:trHeight w:val="957"/>
        </w:trPr>
        <w:tc>
          <w:tcPr>
            <w:tcW w:w="989" w:type="dxa"/>
            <w:tcBorders>
              <w:top w:val="single" w:sz="2" w:space="0" w:color="000000"/>
              <w:left w:val="single" w:sz="2" w:space="0" w:color="000000"/>
              <w:bottom w:val="single" w:sz="2" w:space="0" w:color="000000"/>
              <w:right w:val="single" w:sz="2" w:space="0" w:color="000000"/>
            </w:tcBorders>
          </w:tcPr>
          <w:p w:rsidR="002D2817" w:rsidRPr="002D2817" w:rsidRDefault="002D2817" w:rsidP="002D2817">
            <w:pPr>
              <w:ind w:left="5"/>
              <w:jc w:val="center"/>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17</w:t>
            </w:r>
          </w:p>
        </w:tc>
        <w:tc>
          <w:tcPr>
            <w:tcW w:w="9057"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10" w:hanging="5"/>
              <w:jc w:val="both"/>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Испитивање конструкција високоградње пробним оптерећењем и испитивање до лома СРПС У.М1.047</w:t>
            </w:r>
          </w:p>
        </w:tc>
      </w:tr>
      <w:tr w:rsidR="002D2817" w:rsidRPr="002D2817" w:rsidTr="002D2817">
        <w:trPr>
          <w:trHeight w:val="646"/>
        </w:trPr>
        <w:tc>
          <w:tcPr>
            <w:tcW w:w="989"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0"/>
              <w:jc w:val="center"/>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24</w:t>
            </w:r>
          </w:p>
        </w:tc>
        <w:tc>
          <w:tcPr>
            <w:tcW w:w="9057"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 xml:space="preserve">Кинематичка вискозност на 135 </w:t>
            </w:r>
            <w:r w:rsidRPr="002D2817">
              <w:rPr>
                <w:rFonts w:ascii="Times New Roman" w:eastAsia="Times New Roman" w:hAnsi="Times New Roman" w:cs="Times New Roman"/>
                <w:color w:val="000000"/>
                <w:sz w:val="24"/>
                <w:szCs w:val="24"/>
                <w:vertAlign w:val="superscript"/>
              </w:rPr>
              <w:t>0</w:t>
            </w:r>
            <w:r w:rsidRPr="002D2817">
              <w:rPr>
                <w:rFonts w:ascii="Times New Roman" w:eastAsia="Times New Roman" w:hAnsi="Times New Roman" w:cs="Times New Roman"/>
                <w:color w:val="000000"/>
                <w:sz w:val="24"/>
                <w:szCs w:val="24"/>
              </w:rPr>
              <w:t>С према СРПС ЕН 12595</w:t>
            </w:r>
          </w:p>
        </w:tc>
      </w:tr>
      <w:tr w:rsidR="002D2817" w:rsidRPr="002D2817" w:rsidTr="002D2817">
        <w:trPr>
          <w:trHeight w:val="640"/>
        </w:trPr>
        <w:tc>
          <w:tcPr>
            <w:tcW w:w="989"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jc w:val="center"/>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30</w:t>
            </w:r>
          </w:p>
        </w:tc>
        <w:tc>
          <w:tcPr>
            <w:tcW w:w="9057"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10"/>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Референтна запреминска маса, СРПС ЕН 12697-9,</w:t>
            </w:r>
          </w:p>
        </w:tc>
      </w:tr>
    </w:tbl>
    <w:p w:rsidR="002D2817" w:rsidRPr="002D2817" w:rsidRDefault="002D2817" w:rsidP="002D2817">
      <w:pPr>
        <w:spacing w:after="0"/>
        <w:ind w:left="19" w:hanging="10"/>
        <w:rPr>
          <w:rFonts w:ascii="Times New Roman" w:eastAsia="Times New Roman" w:hAnsi="Times New Roman" w:cs="Times New Roman"/>
          <w:color w:val="000000"/>
          <w:sz w:val="24"/>
        </w:rPr>
      </w:pPr>
    </w:p>
    <w:tbl>
      <w:tblPr>
        <w:tblStyle w:val="TableGrid"/>
        <w:tblW w:w="10047" w:type="dxa"/>
        <w:tblInd w:w="156" w:type="dxa"/>
        <w:tblCellMar>
          <w:top w:w="168" w:type="dxa"/>
          <w:left w:w="110" w:type="dxa"/>
          <w:right w:w="117" w:type="dxa"/>
        </w:tblCellMar>
        <w:tblLook w:val="04A0" w:firstRow="1" w:lastRow="0" w:firstColumn="1" w:lastColumn="0" w:noHBand="0" w:noVBand="1"/>
      </w:tblPr>
      <w:tblGrid>
        <w:gridCol w:w="991"/>
        <w:gridCol w:w="9056"/>
      </w:tblGrid>
      <w:tr w:rsidR="002D2817" w:rsidRPr="002D2817" w:rsidTr="002D2817">
        <w:trPr>
          <w:trHeight w:val="646"/>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0"/>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35</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Прионљивост агрегата и битумена, СРПС ЕН 12697-11,</w:t>
            </w:r>
          </w:p>
        </w:tc>
      </w:tr>
      <w:tr w:rsidR="002D2817" w:rsidRPr="002D2817" w:rsidTr="002D2817">
        <w:trPr>
          <w:trHeight w:val="643"/>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lastRenderedPageBreak/>
              <w:t>36</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Мерење температуре, СРПС ЕН 12697-13,</w:t>
            </w:r>
          </w:p>
        </w:tc>
      </w:tr>
      <w:tr w:rsidR="002D2817" w:rsidRPr="002D2817" w:rsidTr="002D2817">
        <w:trPr>
          <w:trHeight w:val="648"/>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37</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Припрема плочастих узорака у лабораторији, СРПС ЕН 12697-33,</w:t>
            </w:r>
          </w:p>
        </w:tc>
      </w:tr>
      <w:tr w:rsidR="002D2817" w:rsidRPr="002D2817" w:rsidTr="002D2817">
        <w:trPr>
          <w:trHeight w:val="960"/>
        </w:trPr>
        <w:tc>
          <w:tcPr>
            <w:tcW w:w="991" w:type="dxa"/>
            <w:tcBorders>
              <w:top w:val="single" w:sz="2" w:space="0" w:color="000000"/>
              <w:left w:val="single" w:sz="2" w:space="0" w:color="000000"/>
              <w:bottom w:val="single" w:sz="2" w:space="0" w:color="000000"/>
              <w:right w:val="single" w:sz="2" w:space="0" w:color="000000"/>
            </w:tcBorders>
          </w:tcPr>
          <w:p w:rsidR="002D2817" w:rsidRPr="002D2817" w:rsidRDefault="002D2817" w:rsidP="002D2817">
            <w:pPr>
              <w:ind w:right="5"/>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42</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hanging="5"/>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Неправилност површине слојева коловозне конструкције — испитивање равњачом, СРПС ЕН 13036-7</w:t>
            </w:r>
          </w:p>
        </w:tc>
      </w:tr>
      <w:tr w:rsidR="002D2817" w:rsidRPr="002D2817" w:rsidTr="002D2817">
        <w:trPr>
          <w:trHeight w:val="648"/>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44</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Показатели попречне неравности методом помоћу летве, СРПС ЕН 13036-8,</w:t>
            </w:r>
          </w:p>
        </w:tc>
      </w:tr>
      <w:tr w:rsidR="002D2817" w:rsidRPr="002D2817" w:rsidTr="002D2817">
        <w:trPr>
          <w:trHeight w:val="640"/>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52</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Агрегат загађен органским материјама према СРПС Б.Б8.040,</w:t>
            </w:r>
          </w:p>
        </w:tc>
      </w:tr>
      <w:tr w:rsidR="002D2817" w:rsidRPr="002D2817" w:rsidTr="002D2817">
        <w:trPr>
          <w:trHeight w:val="646"/>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4"/>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54</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Отпорност каменог агрегата на хабање (Mikro Deval) СРПС ЕН 1097-1</w:t>
            </w:r>
          </w:p>
        </w:tc>
      </w:tr>
      <w:tr w:rsidR="002D2817" w:rsidRPr="002D2817" w:rsidTr="002D2817">
        <w:trPr>
          <w:trHeight w:val="645"/>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5"/>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55</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Коефицијент полираности камена (PSV — Polishing Stone Value) СРПС ЕН 1097-8</w:t>
            </w:r>
          </w:p>
        </w:tc>
      </w:tr>
      <w:tr w:rsidR="002D2817" w:rsidRPr="002D2817" w:rsidTr="002D2817">
        <w:trPr>
          <w:trHeight w:val="645"/>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4"/>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56</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Облик зрна методом кљунастог мерила, СРПС Б.Б8.048</w:t>
            </w:r>
          </w:p>
        </w:tc>
      </w:tr>
      <w:tr w:rsidR="002D2817" w:rsidRPr="002D2817" w:rsidTr="002D2817">
        <w:trPr>
          <w:trHeight w:val="643"/>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57</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Постојаност каменог агрегата на замрзавање и одмрзавање СРПС ЕН 1367-1</w:t>
            </w:r>
          </w:p>
        </w:tc>
      </w:tr>
      <w:tr w:rsidR="002D2817" w:rsidRPr="002D2817" w:rsidTr="002D2817">
        <w:trPr>
          <w:trHeight w:val="644"/>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58</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Стварна запреминска маса и упијање воде СРПС ЕН 1096</w:t>
            </w:r>
          </w:p>
        </w:tc>
      </w:tr>
      <w:tr w:rsidR="002D2817" w:rsidRPr="002D2817" w:rsidTr="002D2817">
        <w:trPr>
          <w:trHeight w:val="643"/>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68</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Пријањање откидањем (pull-off тест), СРПС ЕН ИСО 4624</w:t>
            </w:r>
          </w:p>
        </w:tc>
      </w:tr>
      <w:tr w:rsidR="002D2817" w:rsidRPr="002D2817" w:rsidTr="002D2817">
        <w:trPr>
          <w:trHeight w:val="643"/>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72</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Испитивање мостова пробним оптерећењем У.М 1.046</w:t>
            </w:r>
          </w:p>
        </w:tc>
      </w:tr>
      <w:tr w:rsidR="002D2817" w:rsidRPr="002D2817" w:rsidTr="002D2817">
        <w:trPr>
          <w:trHeight w:val="643"/>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10"/>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73</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Коефицијент сјајности при дифузној светлости — Qd СРПС ЕН 1436</w:t>
            </w:r>
          </w:p>
        </w:tc>
      </w:tr>
      <w:tr w:rsidR="002D2817" w:rsidRPr="002D2817" w:rsidTr="002D2817">
        <w:trPr>
          <w:trHeight w:val="643"/>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4"/>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74</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5"/>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Коефицијент ретрорефлексије сјајности — Ri СРПС ЕН 1436</w:t>
            </w:r>
          </w:p>
        </w:tc>
      </w:tr>
      <w:tr w:rsidR="002D2817" w:rsidRPr="002D2817" w:rsidTr="002D2817">
        <w:trPr>
          <w:trHeight w:val="643"/>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right="5"/>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75</w:t>
            </w:r>
          </w:p>
        </w:tc>
        <w:tc>
          <w:tcPr>
            <w:tcW w:w="905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10"/>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Отпор према клизању хоризонталне сигнализације на коловозу —СРПС 1436</w:t>
            </w:r>
          </w:p>
        </w:tc>
      </w:tr>
    </w:tbl>
    <w:p w:rsidR="002D2817" w:rsidRPr="002D2817" w:rsidRDefault="002D2817" w:rsidP="002D2817">
      <w:pPr>
        <w:tabs>
          <w:tab w:val="center" w:pos="1436"/>
          <w:tab w:val="center" w:pos="1831"/>
        </w:tabs>
        <w:spacing w:after="0"/>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0"/>
        </w:rPr>
        <w:tab/>
      </w:r>
      <w:r w:rsidRPr="002D2817">
        <w:rPr>
          <w:rFonts w:ascii="Times New Roman" w:eastAsia="Times New Roman" w:hAnsi="Times New Roman" w:cs="Times New Roman"/>
          <w:noProof/>
          <w:color w:val="000000"/>
          <w:sz w:val="24"/>
        </w:rPr>
        <w:drawing>
          <wp:inline distT="0" distB="0" distL="0" distR="0" wp14:anchorId="783FD590" wp14:editId="43F0F225">
            <wp:extent cx="6096" cy="3048"/>
            <wp:effectExtent l="0" t="0" r="0" b="0"/>
            <wp:docPr id="12702" name="Picture 12702"/>
            <wp:cNvGraphicFramePr/>
            <a:graphic xmlns:a="http://schemas.openxmlformats.org/drawingml/2006/main">
              <a:graphicData uri="http://schemas.openxmlformats.org/drawingml/2006/picture">
                <pic:pic xmlns:pic="http://schemas.openxmlformats.org/drawingml/2006/picture">
                  <pic:nvPicPr>
                    <pic:cNvPr id="12702" name="Picture 12702"/>
                    <pic:cNvPicPr/>
                  </pic:nvPicPr>
                  <pic:blipFill>
                    <a:blip r:embed="rId12"/>
                    <a:stretch>
                      <a:fillRect/>
                    </a:stretch>
                  </pic:blipFill>
                  <pic:spPr>
                    <a:xfrm>
                      <a:off x="0" y="0"/>
                      <a:ext cx="6096" cy="3048"/>
                    </a:xfrm>
                    <a:prstGeom prst="rect">
                      <a:avLst/>
                    </a:prstGeom>
                  </pic:spPr>
                </pic:pic>
              </a:graphicData>
            </a:graphic>
          </wp:inline>
        </w:drawing>
      </w:r>
      <w:r>
        <w:rPr>
          <w:rFonts w:ascii="Times New Roman" w:eastAsia="Times New Roman" w:hAnsi="Times New Roman" w:cs="Times New Roman"/>
          <w:color w:val="000000"/>
          <w:sz w:val="20"/>
        </w:rPr>
        <w:tab/>
      </w:r>
      <w:r>
        <w:rPr>
          <w:rFonts w:ascii="Times New Roman" w:eastAsia="Times New Roman" w:hAnsi="Times New Roman" w:cs="Times New Roman"/>
          <w:sz w:val="24"/>
        </w:rPr>
        <w:tab/>
      </w:r>
    </w:p>
    <w:tbl>
      <w:tblPr>
        <w:tblStyle w:val="TableGrid"/>
        <w:tblW w:w="10057" w:type="dxa"/>
        <w:tblInd w:w="146" w:type="dxa"/>
        <w:tblCellMar>
          <w:top w:w="141" w:type="dxa"/>
          <w:left w:w="116" w:type="dxa"/>
          <w:right w:w="113" w:type="dxa"/>
        </w:tblCellMar>
        <w:tblLook w:val="04A0" w:firstRow="1" w:lastRow="0" w:firstColumn="1" w:lastColumn="0" w:noHBand="0" w:noVBand="1"/>
      </w:tblPr>
      <w:tblGrid>
        <w:gridCol w:w="991"/>
        <w:gridCol w:w="9066"/>
      </w:tblGrid>
      <w:tr w:rsidR="002D2817" w:rsidRPr="002D2817" w:rsidTr="002D2817">
        <w:trPr>
          <w:trHeight w:val="646"/>
        </w:trPr>
        <w:tc>
          <w:tcPr>
            <w:tcW w:w="991"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ind w:left="6"/>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lastRenderedPageBreak/>
              <w:t>76</w:t>
            </w:r>
          </w:p>
        </w:tc>
        <w:tc>
          <w:tcPr>
            <w:tcW w:w="906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Ретрорефлексија — РА вертикалних ознака на коловозу СРПС 12899-1</w:t>
            </w:r>
          </w:p>
        </w:tc>
      </w:tr>
      <w:tr w:rsidR="002D2817" w:rsidRPr="002D2817" w:rsidTr="002D2817">
        <w:trPr>
          <w:trHeight w:val="962"/>
        </w:trPr>
        <w:tc>
          <w:tcPr>
            <w:tcW w:w="991" w:type="dxa"/>
            <w:tcBorders>
              <w:top w:val="single" w:sz="2" w:space="0" w:color="000000"/>
              <w:left w:val="single" w:sz="2" w:space="0" w:color="000000"/>
              <w:bottom w:val="single" w:sz="2" w:space="0" w:color="000000"/>
              <w:right w:val="single" w:sz="2" w:space="0" w:color="000000"/>
            </w:tcBorders>
          </w:tcPr>
          <w:p w:rsidR="002D2817" w:rsidRPr="002D2817" w:rsidRDefault="002D2817" w:rsidP="002D2817">
            <w:pPr>
              <w:ind w:left="6"/>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79</w:t>
            </w:r>
          </w:p>
        </w:tc>
        <w:tc>
          <w:tcPr>
            <w:tcW w:w="9066" w:type="dxa"/>
            <w:tcBorders>
              <w:top w:val="single" w:sz="2" w:space="0" w:color="000000"/>
              <w:left w:val="single" w:sz="2" w:space="0" w:color="000000"/>
              <w:bottom w:val="single" w:sz="2" w:space="0" w:color="000000"/>
              <w:right w:val="single" w:sz="2" w:space="0" w:color="000000"/>
            </w:tcBorders>
            <w:vAlign w:val="center"/>
          </w:tcPr>
          <w:p w:rsidR="002D2817" w:rsidRPr="002D2817" w:rsidRDefault="002D2817" w:rsidP="002D2817">
            <w:pP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Битумен - Узимање узорака за физичко-хемијска и механичка испитивања према СРПС</w:t>
            </w:r>
            <w:r w:rsidR="00C92D7D">
              <w:rPr>
                <w:rFonts w:ascii="Times New Roman" w:eastAsia="Times New Roman" w:hAnsi="Times New Roman" w:cs="Times New Roman"/>
                <w:color w:val="000000"/>
                <w:sz w:val="24"/>
                <w:lang w:val="sr-Cyrl-CS"/>
              </w:rPr>
              <w:t xml:space="preserve"> </w:t>
            </w:r>
            <w:r w:rsidR="00C92D7D">
              <w:rPr>
                <w:rFonts w:ascii="Times New Roman" w:eastAsia="Times New Roman" w:hAnsi="Times New Roman" w:cs="Times New Roman"/>
                <w:color w:val="000000"/>
              </w:rPr>
              <w:t>Б.Х8.610</w:t>
            </w:r>
            <w:r w:rsidRPr="002D2817">
              <w:rPr>
                <w:rFonts w:ascii="Times New Roman" w:eastAsia="Times New Roman" w:hAnsi="Times New Roman" w:cs="Times New Roman"/>
                <w:color w:val="000000"/>
              </w:rPr>
              <w:t>,</w:t>
            </w:r>
          </w:p>
        </w:tc>
      </w:tr>
    </w:tbl>
    <w:p w:rsidR="002D2817" w:rsidRDefault="002D2817" w:rsidP="002D2817">
      <w:pPr>
        <w:spacing w:after="0" w:line="267" w:lineRule="auto"/>
        <w:ind w:left="14" w:right="4" w:firstLine="9"/>
        <w:jc w:val="both"/>
        <w:rPr>
          <w:rFonts w:ascii="Times New Roman" w:eastAsia="Times New Roman" w:hAnsi="Times New Roman" w:cs="Times New Roman"/>
          <w:color w:val="000000"/>
          <w:sz w:val="24"/>
        </w:rPr>
      </w:pP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Коментар за предложеним испитивањима:</w:t>
      </w:r>
    </w:p>
    <w:p w:rsidR="002D2817" w:rsidRPr="002D2817" w:rsidRDefault="002D2817" w:rsidP="002D2817">
      <w:pPr>
        <w:numPr>
          <w:ilvl w:val="1"/>
          <w:numId w:val="8"/>
        </w:numPr>
        <w:spacing w:after="0" w:line="267" w:lineRule="auto"/>
        <w:ind w:right="4"/>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Опити под рб. 51, 52, 54, 55, 56, 57 и 58 су предмет претходних испитивања материјала, нису предмет текућих испитивања па самим тим ни контролних испитивања</w:t>
      </w:r>
    </w:p>
    <w:p w:rsidR="00C92D7D" w:rsidRDefault="002D2817" w:rsidP="002D2817">
      <w:pPr>
        <w:numPr>
          <w:ilvl w:val="1"/>
          <w:numId w:val="8"/>
        </w:numPr>
        <w:spacing w:after="0" w:line="267" w:lineRule="auto"/>
        <w:ind w:right="4"/>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 xml:space="preserve">Опити под рб. 15, 17, 36, 42, 44, 68, 72, 73, 74, 75 и 76 се изводе ин ситу и уз обавезно присуство стручног надзора и у досадашњој пракси никада нису били предмет контролних испитвања </w:t>
      </w:r>
    </w:p>
    <w:p w:rsidR="002D2817" w:rsidRPr="002D2817" w:rsidRDefault="002D2817" w:rsidP="002D2817">
      <w:pPr>
        <w:numPr>
          <w:ilvl w:val="1"/>
          <w:numId w:val="8"/>
        </w:numPr>
        <w:spacing w:after="0" w:line="267" w:lineRule="auto"/>
        <w:ind w:right="4"/>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 xml:space="preserve"> Опити под рб. 13, 24 и 30 нису захтев ни текућих ни контролних испитивања (према Техничким условима за грађење путева у Републици Србији)</w:t>
      </w:r>
    </w:p>
    <w:p w:rsidR="002D2817" w:rsidRPr="002D2817" w:rsidRDefault="00C92D7D" w:rsidP="002D2817">
      <w:pPr>
        <w:numPr>
          <w:ilvl w:val="1"/>
          <w:numId w:val="8"/>
        </w:numPr>
        <w:spacing w:after="0" w:line="267" w:lineRule="auto"/>
        <w:ind w:right="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Опит под рб.3</w:t>
      </w:r>
      <w:r w:rsidR="002D2817" w:rsidRPr="002D2817">
        <w:rPr>
          <w:rFonts w:ascii="Times New Roman" w:eastAsia="Times New Roman" w:hAnsi="Times New Roman" w:cs="Times New Roman"/>
          <w:color w:val="000000"/>
          <w:sz w:val="24"/>
        </w:rPr>
        <w:t>7 - није неопходно акредитиовати саму методу припреме узорка. Акредитација методе испитивања узорака по стандарду СРПС ЕН 12697-22 подразумева припрему узорака у складу са методом СРПС ЕН 12697-33</w:t>
      </w:r>
    </w:p>
    <w:p w:rsidR="002D2817" w:rsidRPr="002D2817" w:rsidRDefault="002D2817" w:rsidP="002D2817">
      <w:pPr>
        <w:numPr>
          <w:ilvl w:val="1"/>
          <w:numId w:val="8"/>
        </w:numPr>
        <w:spacing w:after="0" w:line="267" w:lineRule="auto"/>
        <w:ind w:right="4"/>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Опит под рб.79 — Редовно испитивање битумена је обавеза и текуће и контролне лабораторије. Међутим за узорковање битумена никада до сада није био неопходан захтев акредитације методе и у том погледу у овом тренутку не постоји конкурентност на тржишту акредитованих лабораторија.</w:t>
      </w:r>
    </w:p>
    <w:p w:rsidR="002D2817" w:rsidRPr="002D2817" w:rsidRDefault="002D2817" w:rsidP="002D2817">
      <w:pPr>
        <w:numPr>
          <w:ilvl w:val="0"/>
          <w:numId w:val="8"/>
        </w:numPr>
        <w:spacing w:after="0" w:line="267" w:lineRule="auto"/>
        <w:ind w:right="4"/>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Да Наручилац, уколико не поступи по предлогу из тачке 1, детаљно образложи за свако појединачно испитивање наведено у табели из претходне тачке зашто је неопходно спроводити испитивање и на који начин она утичу на квалитетно извршење предметне услуге, при томе примењујући критеријум функционалности и стручно-техничке аргументације, а не тек уопштену к</w:t>
      </w:r>
      <w:r w:rsidR="001734C1">
        <w:rPr>
          <w:rFonts w:ascii="Times New Roman" w:eastAsia="Times New Roman" w:hAnsi="Times New Roman" w:cs="Times New Roman"/>
          <w:color w:val="000000"/>
          <w:sz w:val="24"/>
        </w:rPr>
        <w:t>онстатацију да се ”Критеријум од</w:t>
      </w:r>
      <w:r w:rsidRPr="002D2817">
        <w:rPr>
          <w:rFonts w:ascii="Times New Roman" w:eastAsia="Times New Roman" w:hAnsi="Times New Roman" w:cs="Times New Roman"/>
          <w:color w:val="000000"/>
          <w:sz w:val="24"/>
        </w:rPr>
        <w:t>еђивањ</w:t>
      </w:r>
      <w:r w:rsidR="001734C1">
        <w:rPr>
          <w:rFonts w:ascii="Times New Roman" w:eastAsia="Times New Roman" w:hAnsi="Times New Roman" w:cs="Times New Roman"/>
          <w:color w:val="000000"/>
          <w:sz w:val="24"/>
        </w:rPr>
        <w:t>а обима захтеваних испитивања од</w:t>
      </w:r>
      <w:r w:rsidRPr="002D2817">
        <w:rPr>
          <w:rFonts w:ascii="Times New Roman" w:eastAsia="Times New Roman" w:hAnsi="Times New Roman" w:cs="Times New Roman"/>
          <w:color w:val="000000"/>
          <w:sz w:val="24"/>
        </w:rPr>
        <w:t xml:space="preserve">ређује </w:t>
      </w:r>
      <w:r w:rsidR="001734C1">
        <w:rPr>
          <w:rFonts w:ascii="Times New Roman" w:eastAsia="Times New Roman" w:hAnsi="Times New Roman" w:cs="Times New Roman"/>
          <w:color w:val="000000"/>
          <w:sz w:val="24"/>
        </w:rPr>
        <w:t>само на основу врсте и обима рад</w:t>
      </w:r>
      <w:r w:rsidRPr="002D2817">
        <w:rPr>
          <w:rFonts w:ascii="Times New Roman" w:eastAsia="Times New Roman" w:hAnsi="Times New Roman" w:cs="Times New Roman"/>
          <w:color w:val="000000"/>
          <w:sz w:val="24"/>
        </w:rPr>
        <w:t>ова којеје потребно извести</w:t>
      </w:r>
      <w:r w:rsidRPr="002D2817">
        <w:rPr>
          <w:rFonts w:ascii="Times New Roman" w:eastAsia="Times New Roman" w:hAnsi="Times New Roman" w:cs="Times New Roman"/>
          <w:noProof/>
          <w:color w:val="000000"/>
          <w:sz w:val="24"/>
        </w:rPr>
        <w:drawing>
          <wp:inline distT="0" distB="0" distL="0" distR="0" wp14:anchorId="6EBEFC06" wp14:editId="2FD76AE4">
            <wp:extent cx="82302" cy="109734"/>
            <wp:effectExtent l="0" t="0" r="0" b="0"/>
            <wp:docPr id="35576" name="Picture 35576"/>
            <wp:cNvGraphicFramePr/>
            <a:graphic xmlns:a="http://schemas.openxmlformats.org/drawingml/2006/main">
              <a:graphicData uri="http://schemas.openxmlformats.org/drawingml/2006/picture">
                <pic:pic xmlns:pic="http://schemas.openxmlformats.org/drawingml/2006/picture">
                  <pic:nvPicPr>
                    <pic:cNvPr id="35576" name="Picture 35576"/>
                    <pic:cNvPicPr/>
                  </pic:nvPicPr>
                  <pic:blipFill>
                    <a:blip r:embed="rId13"/>
                    <a:stretch>
                      <a:fillRect/>
                    </a:stretch>
                  </pic:blipFill>
                  <pic:spPr>
                    <a:xfrm>
                      <a:off x="0" y="0"/>
                      <a:ext cx="82302" cy="109734"/>
                    </a:xfrm>
                    <a:prstGeom prst="rect">
                      <a:avLst/>
                    </a:prstGeom>
                  </pic:spPr>
                </pic:pic>
              </a:graphicData>
            </a:graphic>
          </wp:inline>
        </w:drawing>
      </w:r>
    </w:p>
    <w:p w:rsidR="002D2817" w:rsidRDefault="002D2817" w:rsidP="002D2817">
      <w:pPr>
        <w:pStyle w:val="ListParagraph"/>
        <w:spacing w:after="0" w:line="267" w:lineRule="auto"/>
        <w:ind w:left="14" w:right="4"/>
        <w:jc w:val="both"/>
        <w:rPr>
          <w:rFonts w:ascii="Times New Roman" w:eastAsia="Times New Roman" w:hAnsi="Times New Roman" w:cs="Times New Roman"/>
          <w:b/>
          <w:color w:val="FF0000"/>
          <w:sz w:val="24"/>
          <w:lang w:val="sr-Cyrl-CS"/>
        </w:rPr>
      </w:pPr>
    </w:p>
    <w:p w:rsidR="002D2817" w:rsidRDefault="002D2817" w:rsidP="002D2817">
      <w:pPr>
        <w:pStyle w:val="ListParagraph"/>
        <w:spacing w:after="0" w:line="267" w:lineRule="auto"/>
        <w:ind w:left="14" w:right="4"/>
        <w:jc w:val="both"/>
        <w:rPr>
          <w:rFonts w:ascii="Times New Roman" w:eastAsia="Times New Roman" w:hAnsi="Times New Roman" w:cs="Times New Roman"/>
          <w:b/>
          <w:sz w:val="24"/>
          <w:lang w:val="sr-Cyrl-CS"/>
        </w:rPr>
      </w:pPr>
      <w:r w:rsidRPr="00B66BA5">
        <w:rPr>
          <w:rFonts w:ascii="Times New Roman" w:eastAsia="Times New Roman" w:hAnsi="Times New Roman" w:cs="Times New Roman"/>
          <w:b/>
          <w:sz w:val="24"/>
          <w:lang w:val="sr-Cyrl-CS"/>
        </w:rPr>
        <w:t>ОДГОВОР</w:t>
      </w:r>
    </w:p>
    <w:p w:rsidR="00B66BA5" w:rsidRPr="00B66BA5" w:rsidRDefault="00B66BA5" w:rsidP="002D2817">
      <w:pPr>
        <w:pStyle w:val="ListParagraph"/>
        <w:spacing w:after="0" w:line="267" w:lineRule="auto"/>
        <w:ind w:left="14" w:right="4"/>
        <w:jc w:val="both"/>
        <w:rPr>
          <w:rFonts w:ascii="Times New Roman" w:eastAsia="Times New Roman" w:hAnsi="Times New Roman" w:cs="Times New Roman"/>
          <w:b/>
          <w:sz w:val="24"/>
          <w:lang w:val="sr-Cyrl-CS"/>
        </w:rPr>
      </w:pPr>
    </w:p>
    <w:p w:rsidR="00B66BA5" w:rsidRDefault="00B66BA5" w:rsidP="00B66BA5">
      <w:pPr>
        <w:pStyle w:val="PlainText"/>
        <w:jc w:val="both"/>
        <w:rPr>
          <w:rFonts w:ascii="Times New Roman" w:hAnsi="Times New Roman" w:cs="Times New Roman"/>
          <w:sz w:val="24"/>
          <w:szCs w:val="24"/>
          <w:lang w:val="sr-Cyrl-RS"/>
        </w:rPr>
      </w:pPr>
    </w:p>
    <w:p w:rsidR="00B66BA5" w:rsidRDefault="00B66BA5" w:rsidP="00B66BA5">
      <w:pPr>
        <w:pStyle w:val="PlainText"/>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 Технички Услови који се уобичајено користе у Републици Србији:</w:t>
      </w:r>
    </w:p>
    <w:p w:rsidR="00B66BA5" w:rsidRPr="00EC43A0"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 Технички Услови за извођење радова, ЈП Путеви Србије, 2007. година,</w:t>
      </w:r>
    </w:p>
    <w:p w:rsidR="00B66BA5"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 Технички Услови за извођење радова, ЈП Путеви Србије, 2009. година,</w:t>
      </w:r>
    </w:p>
    <w:p w:rsidR="00B66BA5" w:rsidRDefault="00B66BA5" w:rsidP="00B66BA5">
      <w:pPr>
        <w:pStyle w:val="PlainText"/>
        <w:numPr>
          <w:ilvl w:val="0"/>
          <w:numId w:val="11"/>
        </w:numPr>
        <w:jc w:val="both"/>
        <w:rPr>
          <w:rFonts w:ascii="Times New Roman" w:hAnsi="Times New Roman" w:cs="Times New Roman"/>
          <w:sz w:val="24"/>
          <w:szCs w:val="24"/>
          <w:lang w:val="sr-Cyrl-RS"/>
        </w:rPr>
      </w:pPr>
      <w:r w:rsidRPr="00C43F26">
        <w:rPr>
          <w:rFonts w:ascii="Times New Roman" w:hAnsi="Times New Roman" w:cs="Times New Roman"/>
          <w:sz w:val="24"/>
          <w:szCs w:val="24"/>
          <w:lang w:val="sr-Cyrl-RS"/>
        </w:rPr>
        <w:t>Технички Услови за грађење путева у републици Србији</w:t>
      </w:r>
      <w:r>
        <w:rPr>
          <w:rFonts w:ascii="Times New Roman" w:hAnsi="Times New Roman" w:cs="Times New Roman"/>
          <w:sz w:val="24"/>
          <w:szCs w:val="24"/>
          <w:lang w:val="sr-Cyrl-RS"/>
        </w:rPr>
        <w:t xml:space="preserve"> (СРЦС)</w:t>
      </w:r>
      <w:r w:rsidRPr="00C43F26">
        <w:rPr>
          <w:rFonts w:ascii="Times New Roman" w:hAnsi="Times New Roman" w:cs="Times New Roman"/>
          <w:sz w:val="24"/>
          <w:szCs w:val="24"/>
          <w:lang w:val="sr-Cyrl-RS"/>
        </w:rPr>
        <w:t>, Пројекат рехабилитације Транспорта,</w:t>
      </w:r>
      <w:r>
        <w:rPr>
          <w:rFonts w:ascii="Times New Roman" w:hAnsi="Times New Roman" w:cs="Times New Roman"/>
          <w:sz w:val="24"/>
          <w:szCs w:val="24"/>
          <w:lang w:val="sr-Cyrl-RS"/>
        </w:rPr>
        <w:t xml:space="preserve"> </w:t>
      </w:r>
      <w:r w:rsidRPr="00C43F26">
        <w:rPr>
          <w:rFonts w:ascii="Times New Roman" w:hAnsi="Times New Roman" w:cs="Times New Roman"/>
          <w:sz w:val="24"/>
          <w:szCs w:val="24"/>
          <w:lang w:val="sr-Cyrl-RS"/>
        </w:rPr>
        <w:t>финансиран од стране Светске Банке, Европске Инвестиционе Банке и Европске Банке за обнову и развој</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ЈП Путеви Србије, 2012. година, </w:t>
      </w:r>
    </w:p>
    <w:p w:rsidR="00B66BA5" w:rsidRPr="00C43F26"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Техничке Спецификације – П</w:t>
      </w:r>
      <w:r w:rsidRPr="00C43F26">
        <w:rPr>
          <w:rFonts w:ascii="Times New Roman" w:hAnsi="Times New Roman" w:cs="Times New Roman"/>
          <w:sz w:val="24"/>
          <w:szCs w:val="24"/>
          <w:lang w:val="sr-Cyrl-RS"/>
        </w:rPr>
        <w:t>КК – План Контроле Квалитета, Пројекат</w:t>
      </w:r>
      <w:r>
        <w:rPr>
          <w:rFonts w:ascii="Times New Roman" w:hAnsi="Times New Roman" w:cs="Times New Roman"/>
          <w:sz w:val="24"/>
          <w:szCs w:val="24"/>
          <w:lang w:val="sr-Cyrl-RS"/>
        </w:rPr>
        <w:t xml:space="preserve"> рехабилитације путева и безбедности –</w:t>
      </w:r>
      <w:r w:rsidRPr="00C43F26">
        <w:rPr>
          <w:rFonts w:ascii="Times New Roman" w:hAnsi="Times New Roman" w:cs="Times New Roman"/>
          <w:sz w:val="24"/>
          <w:szCs w:val="24"/>
          <w:lang w:val="sr-Cyrl-RS"/>
        </w:rPr>
        <w:t xml:space="preserve"> РРСП</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финансиран од стране Светске Банке, Европске </w:t>
      </w:r>
      <w:r w:rsidRPr="00C43F26">
        <w:rPr>
          <w:rFonts w:ascii="Times New Roman" w:hAnsi="Times New Roman" w:cs="Times New Roman"/>
          <w:sz w:val="24"/>
          <w:szCs w:val="24"/>
          <w:lang w:val="sr-Cyrl-RS"/>
        </w:rPr>
        <w:lastRenderedPageBreak/>
        <w:t>Инвестиционе Банке и Европске Банке за обнову и развој, ЈП Путеви Србије, 2017. година.</w:t>
      </w:r>
    </w:p>
    <w:p w:rsidR="00B66BA5" w:rsidRDefault="00B66BA5" w:rsidP="00B66BA5">
      <w:pPr>
        <w:spacing w:after="0"/>
        <w:jc w:val="both"/>
        <w:rPr>
          <w:rFonts w:ascii="Times New Roman" w:hAnsi="Times New Roman" w:cs="Times New Roman"/>
          <w:bCs/>
          <w:sz w:val="24"/>
          <w:szCs w:val="24"/>
          <w:lang w:val="sr-Cyrl-RS"/>
        </w:rPr>
      </w:pPr>
    </w:p>
    <w:p w:rsidR="00B66BA5" w:rsidRDefault="00B66BA5" w:rsidP="00B66BA5">
      <w:pPr>
        <w:spacing w:after="0"/>
        <w:jc w:val="both"/>
        <w:rPr>
          <w:rFonts w:ascii="Times New Roman" w:hAnsi="Times New Roman" w:cs="Times New Roman"/>
          <w:bCs/>
          <w:sz w:val="24"/>
          <w:szCs w:val="24"/>
          <w:lang w:val="sr-Cyrl-RS"/>
        </w:rPr>
      </w:pPr>
    </w:p>
    <w:p w:rsidR="00B66BA5" w:rsidRPr="00A9137E" w:rsidRDefault="00B66BA5" w:rsidP="00B66BA5">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следећој табели се уз сваку испитну методу налази детаљно објашњење зашто је потребно да се спроводи одређено испитивање</w:t>
      </w:r>
      <w:r w:rsidR="00C14082">
        <w:rPr>
          <w:rFonts w:ascii="Times New Roman" w:hAnsi="Times New Roman" w:cs="Times New Roman"/>
          <w:bCs/>
          <w:sz w:val="24"/>
          <w:szCs w:val="24"/>
        </w:rPr>
        <w:t>:</w:t>
      </w:r>
      <w:r>
        <w:rPr>
          <w:rFonts w:ascii="Times New Roman" w:hAnsi="Times New Roman" w:cs="Times New Roman"/>
          <w:bCs/>
          <w:sz w:val="24"/>
          <w:szCs w:val="24"/>
          <w:lang w:val="sr-Cyrl-RS"/>
        </w:rPr>
        <w:t xml:space="preserve"> </w:t>
      </w:r>
    </w:p>
    <w:p w:rsidR="00B66BA5" w:rsidRPr="00A9137E" w:rsidRDefault="00B66BA5" w:rsidP="00B66BA5">
      <w:pPr>
        <w:pStyle w:val="PlainText"/>
        <w:jc w:val="both"/>
        <w:rPr>
          <w:rFonts w:ascii="Times New Roman" w:hAnsi="Times New Roman" w:cs="Times New Roman"/>
          <w:b/>
          <w:sz w:val="24"/>
          <w:szCs w:val="24"/>
          <w:lang w:val="sr-Cyrl-RS"/>
        </w:rPr>
      </w:pPr>
    </w:p>
    <w:tbl>
      <w:tblPr>
        <w:tblW w:w="9356" w:type="dxa"/>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57" w:type="dxa"/>
          <w:bottom w:w="57" w:type="dxa"/>
          <w:right w:w="57" w:type="dxa"/>
        </w:tblCellMar>
        <w:tblLook w:val="04A0" w:firstRow="1" w:lastRow="0" w:firstColumn="1" w:lastColumn="0" w:noHBand="0" w:noVBand="1"/>
      </w:tblPr>
      <w:tblGrid>
        <w:gridCol w:w="3544"/>
        <w:gridCol w:w="5812"/>
      </w:tblGrid>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t>Геомеханичка испитивања:</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583D39" w:rsidTr="00E175F3">
        <w:tc>
          <w:tcPr>
            <w:tcW w:w="3544" w:type="dxa"/>
            <w:tcMar>
              <w:top w:w="57" w:type="dxa"/>
              <w:left w:w="57" w:type="dxa"/>
              <w:bottom w:w="57" w:type="dxa"/>
              <w:right w:w="57" w:type="dxa"/>
            </w:tcMar>
            <w:hideMark/>
          </w:tcPr>
          <w:p w:rsidR="00B66BA5"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13) Динамичко пенетрационо испитивање СРПС ЕН ИСО 22476- 2,</w:t>
            </w:r>
          </w:p>
          <w:p w:rsidR="00B66BA5" w:rsidRPr="00583D39" w:rsidRDefault="00B66BA5" w:rsidP="00E175F3">
            <w:pPr>
              <w:pStyle w:val="PlainText"/>
              <w:rPr>
                <w:rFonts w:ascii="Times New Roman" w:hAnsi="Times New Roman" w:cs="Times New Roman"/>
                <w:sz w:val="24"/>
                <w:szCs w:val="24"/>
                <w:lang w:val="sr-Cyrl-RS"/>
              </w:rPr>
            </w:pPr>
          </w:p>
        </w:tc>
        <w:tc>
          <w:tcPr>
            <w:tcW w:w="5812" w:type="dxa"/>
          </w:tcPr>
          <w:p w:rsidR="00B66BA5" w:rsidRPr="00BE4EB3"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Динамичко пенетрационо испитивање се користи као испитна метода за испитивање носивости тла и невезаних слојева, као на пример: подтла насипа, слојева насипа, темељног тла, темељног тла у ком ће се изводити шипови, итд.</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Користи се током извођења геотехничких истражних радова и теренских испитивања за потребе израде пројектне документације, претходних испитивања код испитивања трасе и позајмишта, испитивања тла у позајмиштима током извођења радова, и осталим испитивањима тла и невезаних слојева током извођења радова.</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t>Испитивања шипова:</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15) Одређивање интегритета шипова методом чекића према АСТМ Д5882-07,</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17) Испитивање конструкција високоградње пробним оптерећењем и испитивање до лома СРПС У.М1.047,</w:t>
            </w:r>
          </w:p>
        </w:tc>
        <w:tc>
          <w:tcPr>
            <w:tcW w:w="5812" w:type="dxa"/>
          </w:tcPr>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Испитивање интегритета шипова методом чекића (ултразвуком) и испитивање носивости шипова пробним оптерећењем до лома, представљају основне и веома распрострањене методе за испитивање квалитета и носивости изведених шипова. Ова метода се користи готово на свим градилиштима у Републици Србији већ дуги низ година, како на градилиштима значајних инфраструктурних објеката тако и на градилиштима објеката високоградње (стамбено и стамбено пословни објекти). Ова испитивања су прописана у следећим документима:</w:t>
            </w:r>
          </w:p>
          <w:p w:rsidR="00B66BA5"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 Технички Услови за извођење радова, ЈП Путеви Србије, 2009. година,</w:t>
            </w:r>
          </w:p>
          <w:p w:rsidR="00B66BA5" w:rsidRDefault="00B66BA5" w:rsidP="00B66BA5">
            <w:pPr>
              <w:pStyle w:val="PlainText"/>
              <w:numPr>
                <w:ilvl w:val="0"/>
                <w:numId w:val="11"/>
              </w:numPr>
              <w:jc w:val="both"/>
              <w:rPr>
                <w:rFonts w:ascii="Times New Roman" w:hAnsi="Times New Roman" w:cs="Times New Roman"/>
                <w:sz w:val="24"/>
                <w:szCs w:val="24"/>
                <w:lang w:val="sr-Cyrl-RS"/>
              </w:rPr>
            </w:pPr>
            <w:r w:rsidRPr="00C43F26">
              <w:rPr>
                <w:rFonts w:ascii="Times New Roman" w:hAnsi="Times New Roman" w:cs="Times New Roman"/>
                <w:sz w:val="24"/>
                <w:szCs w:val="24"/>
                <w:lang w:val="sr-Cyrl-RS"/>
              </w:rPr>
              <w:t>Технички Услови за грађење путева у републици Србији</w:t>
            </w:r>
            <w:r>
              <w:rPr>
                <w:rFonts w:ascii="Times New Roman" w:hAnsi="Times New Roman" w:cs="Times New Roman"/>
                <w:sz w:val="24"/>
                <w:szCs w:val="24"/>
                <w:lang w:val="sr-Cyrl-RS"/>
              </w:rPr>
              <w:t xml:space="preserve"> (СРЦС)</w:t>
            </w:r>
            <w:r w:rsidRPr="00C43F26">
              <w:rPr>
                <w:rFonts w:ascii="Times New Roman" w:hAnsi="Times New Roman" w:cs="Times New Roman"/>
                <w:sz w:val="24"/>
                <w:szCs w:val="24"/>
                <w:lang w:val="sr-Cyrl-RS"/>
              </w:rPr>
              <w:t>, Пројекат рехабилитације Транспорта,</w:t>
            </w:r>
            <w:r>
              <w:rPr>
                <w:rFonts w:ascii="Times New Roman" w:hAnsi="Times New Roman" w:cs="Times New Roman"/>
                <w:sz w:val="24"/>
                <w:szCs w:val="24"/>
                <w:lang w:val="sr-Cyrl-RS"/>
              </w:rPr>
              <w:t xml:space="preserve"> </w:t>
            </w:r>
            <w:r w:rsidRPr="00C43F26">
              <w:rPr>
                <w:rFonts w:ascii="Times New Roman" w:hAnsi="Times New Roman" w:cs="Times New Roman"/>
                <w:sz w:val="24"/>
                <w:szCs w:val="24"/>
                <w:lang w:val="sr-Cyrl-RS"/>
              </w:rPr>
              <w:t>финансиран од стране Светске Банке, Европске Инвестиционе Банке и Европске Банке за обнову и развој</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ЈП Путеви Србије, 2012. година, </w:t>
            </w:r>
          </w:p>
          <w:p w:rsidR="00B66BA5"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Техничке Спецификације – П</w:t>
            </w:r>
            <w:r w:rsidRPr="00C43F26">
              <w:rPr>
                <w:rFonts w:ascii="Times New Roman" w:hAnsi="Times New Roman" w:cs="Times New Roman"/>
                <w:sz w:val="24"/>
                <w:szCs w:val="24"/>
                <w:lang w:val="sr-Cyrl-RS"/>
              </w:rPr>
              <w:t>КК – План Контроле Квалитета, Пројекат</w:t>
            </w:r>
            <w:r>
              <w:rPr>
                <w:rFonts w:ascii="Times New Roman" w:hAnsi="Times New Roman" w:cs="Times New Roman"/>
                <w:sz w:val="24"/>
                <w:szCs w:val="24"/>
                <w:lang w:val="sr-Cyrl-RS"/>
              </w:rPr>
              <w:t xml:space="preserve"> рехабилитације путева и безбедности –</w:t>
            </w:r>
            <w:r w:rsidRPr="00C43F26">
              <w:rPr>
                <w:rFonts w:ascii="Times New Roman" w:hAnsi="Times New Roman" w:cs="Times New Roman"/>
                <w:sz w:val="24"/>
                <w:szCs w:val="24"/>
                <w:lang w:val="sr-Cyrl-RS"/>
              </w:rPr>
              <w:t xml:space="preserve"> РРСП</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финансиран од стране Светске Банке, Европске Инвестиционе </w:t>
            </w:r>
            <w:r w:rsidRPr="00C43F26">
              <w:rPr>
                <w:rFonts w:ascii="Times New Roman" w:hAnsi="Times New Roman" w:cs="Times New Roman"/>
                <w:sz w:val="24"/>
                <w:szCs w:val="24"/>
                <w:lang w:val="sr-Cyrl-RS"/>
              </w:rPr>
              <w:lastRenderedPageBreak/>
              <w:t>Банке и Европске Банке за обнову и развој,</w:t>
            </w:r>
            <w:r>
              <w:rPr>
                <w:rFonts w:ascii="Times New Roman" w:hAnsi="Times New Roman" w:cs="Times New Roman"/>
                <w:sz w:val="24"/>
                <w:szCs w:val="24"/>
                <w:lang w:val="sr-Cyrl-RS"/>
              </w:rPr>
              <w:t xml:space="preserve"> ЈП Путеви Србије, 2017. Година, </w:t>
            </w:r>
          </w:p>
          <w:p w:rsidR="00B66BA5" w:rsidRPr="00F0102C"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итд.</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lastRenderedPageBreak/>
              <w:t>Испитивања битумена и полимер модификованог битумена:</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24) Кинематичка вискозност на 135°С према СРПС ЕН 12595,</w:t>
            </w:r>
          </w:p>
        </w:tc>
        <w:tc>
          <w:tcPr>
            <w:tcW w:w="5812" w:type="dxa"/>
          </w:tcPr>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 xml:space="preserve">Испитивање вискозности битумена представља његову физичко механичку карактеристику која има утицаја на квалитет самог битумена, а последично и на квалитет произведеног асфалта па је самим тим прописано важећим стандардом у републици Србији: СРПС ЕН </w:t>
            </w:r>
            <w:r w:rsidRPr="009506E6">
              <w:rPr>
                <w:rFonts w:ascii="Times New Roman" w:hAnsi="Times New Roman" w:cs="Times New Roman"/>
                <w:sz w:val="24"/>
                <w:szCs w:val="24"/>
                <w:lang w:val="sr-Cyrl-RS"/>
              </w:rPr>
              <w:t xml:space="preserve">12591:2013  </w:t>
            </w: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Битумен и Битуменска везива – Спецификације за битумен за путеве.</w:t>
            </w:r>
          </w:p>
          <w:p w:rsidR="00B66BA5" w:rsidRPr="005D705F" w:rsidRDefault="00B66BA5" w:rsidP="00E175F3">
            <w:pPr>
              <w:pStyle w:val="PlainText"/>
              <w:rPr>
                <w:rFonts w:ascii="Times New Roman" w:hAnsi="Times New Roman" w:cs="Times New Roman"/>
                <w:sz w:val="24"/>
                <w:szCs w:val="24"/>
                <w:lang w:val="sr-Cyrl-RS"/>
              </w:rPr>
            </w:pPr>
          </w:p>
          <w:p w:rsidR="00B66BA5" w:rsidRDefault="00B66BA5" w:rsidP="00E175F3">
            <w:pPr>
              <w:pStyle w:val="PlainText"/>
              <w:rPr>
                <w:rFonts w:ascii="Times New Roman" w:hAnsi="Times New Roman" w:cs="Times New Roman"/>
                <w:sz w:val="24"/>
                <w:szCs w:val="24"/>
                <w:lang w:val="sr-Latn-RS"/>
              </w:rPr>
            </w:pPr>
            <w:r>
              <w:rPr>
                <w:rFonts w:ascii="Times New Roman" w:hAnsi="Times New Roman" w:cs="Times New Roman"/>
                <w:sz w:val="24"/>
                <w:szCs w:val="24"/>
                <w:lang w:val="sr-Cyrl-RS"/>
              </w:rPr>
              <w:t>Ово испитивање је захтевано</w:t>
            </w:r>
            <w:r>
              <w:rPr>
                <w:rFonts w:ascii="Times New Roman" w:hAnsi="Times New Roman" w:cs="Times New Roman"/>
                <w:sz w:val="24"/>
                <w:szCs w:val="24"/>
                <w:lang w:val="sr-Latn-RS"/>
              </w:rPr>
              <w:t>:</w:t>
            </w:r>
          </w:p>
          <w:p w:rsidR="00B66BA5" w:rsidRPr="0072609A" w:rsidRDefault="00B66BA5" w:rsidP="00B66BA5">
            <w:pPr>
              <w:pStyle w:val="PlainText"/>
              <w:numPr>
                <w:ilvl w:val="0"/>
                <w:numId w:val="12"/>
              </w:numPr>
              <w:rPr>
                <w:rFonts w:ascii="Times New Roman" w:hAnsi="Times New Roman" w:cs="Times New Roman"/>
                <w:sz w:val="24"/>
                <w:szCs w:val="24"/>
                <w:lang w:val="sr-Latn-RS"/>
              </w:rPr>
            </w:pPr>
            <w:r>
              <w:rPr>
                <w:rFonts w:ascii="Times New Roman" w:hAnsi="Times New Roman" w:cs="Times New Roman"/>
                <w:sz w:val="24"/>
                <w:szCs w:val="24"/>
                <w:lang w:val="sr-Cyrl-RS"/>
              </w:rPr>
              <w:t xml:space="preserve">Важећим стандардом СРПС ЕН </w:t>
            </w:r>
            <w:r w:rsidRPr="009506E6">
              <w:rPr>
                <w:rFonts w:ascii="Times New Roman" w:hAnsi="Times New Roman" w:cs="Times New Roman"/>
                <w:sz w:val="24"/>
                <w:szCs w:val="24"/>
                <w:lang w:val="sr-Cyrl-RS"/>
              </w:rPr>
              <w:t xml:space="preserve">12591:2013  </w:t>
            </w:r>
            <w:r>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Битумен и Битуменска везива – Спецификације за битумен за путеве, </w:t>
            </w:r>
          </w:p>
          <w:p w:rsidR="00B66BA5" w:rsidRPr="00BE4EB3" w:rsidRDefault="00B66BA5" w:rsidP="00B66BA5">
            <w:pPr>
              <w:pStyle w:val="PlainText"/>
              <w:numPr>
                <w:ilvl w:val="0"/>
                <w:numId w:val="12"/>
              </w:numPr>
              <w:rPr>
                <w:rFonts w:ascii="Times New Roman" w:hAnsi="Times New Roman" w:cs="Times New Roman"/>
                <w:sz w:val="24"/>
                <w:szCs w:val="24"/>
                <w:lang w:val="sr-Latn-RS"/>
              </w:rPr>
            </w:pPr>
            <w:r w:rsidRPr="00C43F26">
              <w:rPr>
                <w:rFonts w:ascii="Times New Roman" w:hAnsi="Times New Roman" w:cs="Times New Roman"/>
                <w:sz w:val="24"/>
                <w:szCs w:val="24"/>
                <w:lang w:val="sr-Cyrl-RS"/>
              </w:rPr>
              <w:t>Технички</w:t>
            </w:r>
            <w:r>
              <w:rPr>
                <w:rFonts w:ascii="Times New Roman" w:hAnsi="Times New Roman" w:cs="Times New Roman"/>
                <w:sz w:val="24"/>
                <w:szCs w:val="24"/>
                <w:lang w:val="sr-Cyrl-RS"/>
              </w:rPr>
              <w:t>м</w:t>
            </w:r>
            <w:r w:rsidRPr="00C43F26">
              <w:rPr>
                <w:rFonts w:ascii="Times New Roman" w:hAnsi="Times New Roman" w:cs="Times New Roman"/>
                <w:sz w:val="24"/>
                <w:szCs w:val="24"/>
                <w:lang w:val="sr-Cyrl-RS"/>
              </w:rPr>
              <w:t xml:space="preserve"> Услови</w:t>
            </w:r>
            <w:r>
              <w:rPr>
                <w:rFonts w:ascii="Times New Roman" w:hAnsi="Times New Roman" w:cs="Times New Roman"/>
                <w:sz w:val="24"/>
                <w:szCs w:val="24"/>
                <w:lang w:val="sr-Cyrl-RS"/>
              </w:rPr>
              <w:t>ма</w:t>
            </w:r>
            <w:r w:rsidRPr="00C43F26">
              <w:rPr>
                <w:rFonts w:ascii="Times New Roman" w:hAnsi="Times New Roman" w:cs="Times New Roman"/>
                <w:sz w:val="24"/>
                <w:szCs w:val="24"/>
                <w:lang w:val="sr-Cyrl-RS"/>
              </w:rPr>
              <w:t xml:space="preserve"> за грађење путева у републици Србији</w:t>
            </w:r>
            <w:r>
              <w:rPr>
                <w:rFonts w:ascii="Times New Roman" w:hAnsi="Times New Roman" w:cs="Times New Roman"/>
                <w:sz w:val="24"/>
                <w:szCs w:val="24"/>
                <w:lang w:val="sr-Cyrl-RS"/>
              </w:rPr>
              <w:t xml:space="preserve"> (СРЦС)</w:t>
            </w:r>
            <w:r w:rsidRPr="00C43F26">
              <w:rPr>
                <w:rFonts w:ascii="Times New Roman" w:hAnsi="Times New Roman" w:cs="Times New Roman"/>
                <w:sz w:val="24"/>
                <w:szCs w:val="24"/>
                <w:lang w:val="sr-Cyrl-RS"/>
              </w:rPr>
              <w:t>, Пројекат рехабилитације Транспорта,</w:t>
            </w:r>
            <w:r>
              <w:rPr>
                <w:rFonts w:ascii="Times New Roman" w:hAnsi="Times New Roman" w:cs="Times New Roman"/>
                <w:sz w:val="24"/>
                <w:szCs w:val="24"/>
                <w:lang w:val="sr-Cyrl-RS"/>
              </w:rPr>
              <w:t xml:space="preserve"> </w:t>
            </w:r>
            <w:r w:rsidRPr="00C43F26">
              <w:rPr>
                <w:rFonts w:ascii="Times New Roman" w:hAnsi="Times New Roman" w:cs="Times New Roman"/>
                <w:sz w:val="24"/>
                <w:szCs w:val="24"/>
                <w:lang w:val="sr-Cyrl-RS"/>
              </w:rPr>
              <w:t>финансиран од стране Светске Банке, Европске Инвестиционе Банке и Европске Банке за обнову и развој</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ЈП Путеви Србије, 2012. </w:t>
            </w:r>
            <w:r>
              <w:rPr>
                <w:rFonts w:ascii="Times New Roman" w:hAnsi="Times New Roman" w:cs="Times New Roman"/>
                <w:sz w:val="24"/>
                <w:szCs w:val="24"/>
                <w:lang w:val="sr-Cyrl-RS"/>
              </w:rPr>
              <w:t>г</w:t>
            </w:r>
            <w:r w:rsidRPr="00C43F26">
              <w:rPr>
                <w:rFonts w:ascii="Times New Roman" w:hAnsi="Times New Roman" w:cs="Times New Roman"/>
                <w:sz w:val="24"/>
                <w:szCs w:val="24"/>
                <w:lang w:val="sr-Cyrl-RS"/>
              </w:rPr>
              <w:t>одина</w:t>
            </w:r>
            <w:r>
              <w:rPr>
                <w:rFonts w:ascii="Times New Roman" w:hAnsi="Times New Roman" w:cs="Times New Roman"/>
                <w:sz w:val="24"/>
                <w:szCs w:val="24"/>
                <w:lang w:val="sr-Latn-RS"/>
              </w:rPr>
              <w:t>,</w:t>
            </w:r>
          </w:p>
          <w:p w:rsidR="00B66BA5" w:rsidRPr="0072609A" w:rsidRDefault="00B66BA5" w:rsidP="00B66BA5">
            <w:pPr>
              <w:pStyle w:val="PlainText"/>
              <w:numPr>
                <w:ilvl w:val="0"/>
                <w:numId w:val="12"/>
              </w:numPr>
              <w:rPr>
                <w:rFonts w:ascii="Times New Roman" w:hAnsi="Times New Roman" w:cs="Times New Roman"/>
                <w:sz w:val="24"/>
                <w:szCs w:val="24"/>
                <w:lang w:val="sr-Latn-RS"/>
              </w:rPr>
            </w:pPr>
            <w:r>
              <w:rPr>
                <w:rFonts w:ascii="Times New Roman" w:hAnsi="Times New Roman" w:cs="Times New Roman"/>
                <w:sz w:val="24"/>
                <w:szCs w:val="24"/>
                <w:lang w:val="sr-Cyrl-RS"/>
              </w:rPr>
              <w:t>П</w:t>
            </w:r>
            <w:r w:rsidRPr="00C43F26">
              <w:rPr>
                <w:rFonts w:ascii="Times New Roman" w:hAnsi="Times New Roman" w:cs="Times New Roman"/>
                <w:sz w:val="24"/>
                <w:szCs w:val="24"/>
                <w:lang w:val="sr-Cyrl-RS"/>
              </w:rPr>
              <w:t>КК – План Контроле Квалитета, Пројекат</w:t>
            </w:r>
            <w:r>
              <w:rPr>
                <w:rFonts w:ascii="Times New Roman" w:hAnsi="Times New Roman" w:cs="Times New Roman"/>
                <w:sz w:val="24"/>
                <w:szCs w:val="24"/>
                <w:lang w:val="sr-Cyrl-RS"/>
              </w:rPr>
              <w:t xml:space="preserve"> рехабилитације путева и безбедности –</w:t>
            </w:r>
            <w:r w:rsidRPr="00C43F26">
              <w:rPr>
                <w:rFonts w:ascii="Times New Roman" w:hAnsi="Times New Roman" w:cs="Times New Roman"/>
                <w:sz w:val="24"/>
                <w:szCs w:val="24"/>
                <w:lang w:val="sr-Cyrl-RS"/>
              </w:rPr>
              <w:t xml:space="preserve"> РРСП</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финансиран од стране Светске Банке, Европске Инвестиционе Банке и Европске Банке за обнову и развој, ЈП Путеви Србије, 2017. </w:t>
            </w:r>
            <w:r>
              <w:rPr>
                <w:rFonts w:ascii="Times New Roman" w:hAnsi="Times New Roman" w:cs="Times New Roman"/>
                <w:sz w:val="24"/>
                <w:szCs w:val="24"/>
                <w:lang w:val="sr-Cyrl-RS"/>
              </w:rPr>
              <w:t>г</w:t>
            </w:r>
            <w:r w:rsidRPr="00C43F26">
              <w:rPr>
                <w:rFonts w:ascii="Times New Roman" w:hAnsi="Times New Roman" w:cs="Times New Roman"/>
                <w:sz w:val="24"/>
                <w:szCs w:val="24"/>
                <w:lang w:val="sr-Cyrl-RS"/>
              </w:rPr>
              <w:t>одина</w:t>
            </w:r>
            <w:r>
              <w:rPr>
                <w:rFonts w:ascii="Times New Roman" w:hAnsi="Times New Roman" w:cs="Times New Roman"/>
                <w:sz w:val="24"/>
                <w:szCs w:val="24"/>
                <w:lang w:val="sr-Cyrl-RS"/>
              </w:rPr>
              <w:t>,</w:t>
            </w:r>
          </w:p>
          <w:p w:rsidR="00B66BA5" w:rsidRPr="0072609A" w:rsidRDefault="00B66BA5" w:rsidP="00B66BA5">
            <w:pPr>
              <w:pStyle w:val="PlainText"/>
              <w:numPr>
                <w:ilvl w:val="0"/>
                <w:numId w:val="12"/>
              </w:numPr>
              <w:rPr>
                <w:rFonts w:ascii="Times New Roman" w:hAnsi="Times New Roman" w:cs="Times New Roman"/>
                <w:sz w:val="24"/>
                <w:szCs w:val="24"/>
                <w:lang w:val="sr-Latn-RS"/>
              </w:rPr>
            </w:pPr>
            <w:r>
              <w:rPr>
                <w:rFonts w:ascii="Times New Roman" w:hAnsi="Times New Roman" w:cs="Times New Roman"/>
                <w:sz w:val="24"/>
                <w:szCs w:val="24"/>
                <w:lang w:val="sr-Cyrl-RS"/>
              </w:rPr>
              <w:t>итд.</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t>Испитивања асфалтне масе:</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 xml:space="preserve">30) Референтна запреминска маса, СРПС ЕН 12697-9, </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 xml:space="preserve">35) Прионљивост агрегата и битумена, СРПС ЕН 12697-11, </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36) Мерење температуре, СРПС ЕН 12697-13,</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37) Припрема плочастих узорака у лабораторији, СРПС ЕН 12697-33,</w:t>
            </w:r>
          </w:p>
        </w:tc>
        <w:tc>
          <w:tcPr>
            <w:tcW w:w="5812" w:type="dxa"/>
          </w:tcPr>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Референтна запреминска маса се користи за испитивање запреминске масе асфалтних мешавина, за израчунавање основних параметара асфалтних слојева, као што је збијеност асфалтног слоја.</w:t>
            </w:r>
          </w:p>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Прионљивост агрегата и битумена представља веома битну карактеристику асфалтне мешавине и њено спровођење је неопходно.</w:t>
            </w:r>
          </w:p>
          <w:p w:rsidR="00B66BA5" w:rsidRDefault="00B66BA5" w:rsidP="00E175F3">
            <w:pPr>
              <w:pStyle w:val="PlainText"/>
              <w:rPr>
                <w:rFonts w:ascii="Times New Roman" w:hAnsi="Times New Roman" w:cs="Times New Roman"/>
                <w:sz w:val="24"/>
                <w:szCs w:val="24"/>
                <w:lang w:val="sr-Cyrl-RS"/>
              </w:rPr>
            </w:pPr>
          </w:p>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Мерење температуре асфалтне масе представља скоро свакодневну активност Стручног Надзора, јер је температура асфалта, како на асфалтној бази, пре транспорта, тако и на градилишту пре и током </w:t>
            </w:r>
            <w:r>
              <w:rPr>
                <w:rFonts w:ascii="Times New Roman" w:hAnsi="Times New Roman" w:cs="Times New Roman"/>
                <w:sz w:val="24"/>
                <w:szCs w:val="24"/>
                <w:lang w:val="sr-Cyrl-RS"/>
              </w:rPr>
              <w:lastRenderedPageBreak/>
              <w:t>уградње, кључан параметар за квалитетну уградњу асфалта на градилишту.</w:t>
            </w:r>
          </w:p>
          <w:p w:rsidR="00B66BA5" w:rsidRDefault="00B66BA5" w:rsidP="00E175F3">
            <w:pPr>
              <w:pStyle w:val="PlainText"/>
              <w:rPr>
                <w:rFonts w:ascii="Times New Roman" w:hAnsi="Times New Roman" w:cs="Times New Roman"/>
                <w:sz w:val="24"/>
                <w:szCs w:val="24"/>
                <w:lang w:val="sr-Cyrl-RS"/>
              </w:rPr>
            </w:pPr>
          </w:p>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Припрема плочастих узорака у лабораторији за потребе испитивања отпорности асфалтне мешавине на појаву колотрага је дефинисана стандардом 12697-33 па је самим тим и неопходна, док је у стандарду 12697-22 дефинисан сам поступак испитивања отпорности на појаву колотрага.</w:t>
            </w:r>
          </w:p>
          <w:p w:rsidR="00B66BA5" w:rsidRDefault="00B66BA5" w:rsidP="00E175F3">
            <w:pPr>
              <w:pStyle w:val="PlainText"/>
              <w:rPr>
                <w:rFonts w:ascii="Times New Roman" w:hAnsi="Times New Roman" w:cs="Times New Roman"/>
                <w:sz w:val="24"/>
                <w:szCs w:val="24"/>
                <w:lang w:val="sr-Cyrl-RS"/>
              </w:rPr>
            </w:pPr>
          </w:p>
          <w:p w:rsidR="00B66BA5" w:rsidRDefault="00B66BA5" w:rsidP="00E175F3">
            <w:pPr>
              <w:pStyle w:val="PlainText"/>
              <w:rPr>
                <w:rFonts w:ascii="Times New Roman" w:hAnsi="Times New Roman" w:cs="Times New Roman"/>
                <w:sz w:val="24"/>
                <w:szCs w:val="24"/>
                <w:lang w:val="sr-Latn-RS"/>
              </w:rPr>
            </w:pPr>
            <w:r>
              <w:rPr>
                <w:rFonts w:ascii="Times New Roman" w:hAnsi="Times New Roman" w:cs="Times New Roman"/>
                <w:sz w:val="24"/>
                <w:szCs w:val="24"/>
                <w:lang w:val="sr-Cyrl-RS"/>
              </w:rPr>
              <w:t>Ова испитивања су захтевана у следећим општим техничким условима</w:t>
            </w:r>
            <w:r>
              <w:rPr>
                <w:rFonts w:ascii="Times New Roman" w:hAnsi="Times New Roman" w:cs="Times New Roman"/>
                <w:sz w:val="24"/>
                <w:szCs w:val="24"/>
                <w:lang w:val="sr-Latn-RS"/>
              </w:rPr>
              <w:t>:</w:t>
            </w:r>
          </w:p>
          <w:p w:rsidR="00B66BA5" w:rsidRPr="00BE4EB3" w:rsidRDefault="00B66BA5" w:rsidP="00B66BA5">
            <w:pPr>
              <w:pStyle w:val="PlainText"/>
              <w:numPr>
                <w:ilvl w:val="0"/>
                <w:numId w:val="12"/>
              </w:numPr>
              <w:rPr>
                <w:rFonts w:ascii="Times New Roman" w:hAnsi="Times New Roman" w:cs="Times New Roman"/>
                <w:sz w:val="24"/>
                <w:szCs w:val="24"/>
                <w:lang w:val="sr-Latn-RS"/>
              </w:rPr>
            </w:pPr>
            <w:r w:rsidRPr="00C43F26">
              <w:rPr>
                <w:rFonts w:ascii="Times New Roman" w:hAnsi="Times New Roman" w:cs="Times New Roman"/>
                <w:sz w:val="24"/>
                <w:szCs w:val="24"/>
                <w:lang w:val="sr-Cyrl-RS"/>
              </w:rPr>
              <w:t>Технички</w:t>
            </w:r>
            <w:r>
              <w:rPr>
                <w:rFonts w:ascii="Times New Roman" w:hAnsi="Times New Roman" w:cs="Times New Roman"/>
                <w:sz w:val="24"/>
                <w:szCs w:val="24"/>
                <w:lang w:val="sr-Cyrl-RS"/>
              </w:rPr>
              <w:t>м</w:t>
            </w:r>
            <w:r w:rsidRPr="00C43F26">
              <w:rPr>
                <w:rFonts w:ascii="Times New Roman" w:hAnsi="Times New Roman" w:cs="Times New Roman"/>
                <w:sz w:val="24"/>
                <w:szCs w:val="24"/>
                <w:lang w:val="sr-Cyrl-RS"/>
              </w:rPr>
              <w:t xml:space="preserve"> Услови</w:t>
            </w:r>
            <w:r>
              <w:rPr>
                <w:rFonts w:ascii="Times New Roman" w:hAnsi="Times New Roman" w:cs="Times New Roman"/>
                <w:sz w:val="24"/>
                <w:szCs w:val="24"/>
                <w:lang w:val="sr-Cyrl-RS"/>
              </w:rPr>
              <w:t>ма</w:t>
            </w:r>
            <w:r w:rsidRPr="00C43F26">
              <w:rPr>
                <w:rFonts w:ascii="Times New Roman" w:hAnsi="Times New Roman" w:cs="Times New Roman"/>
                <w:sz w:val="24"/>
                <w:szCs w:val="24"/>
                <w:lang w:val="sr-Cyrl-RS"/>
              </w:rPr>
              <w:t xml:space="preserve"> за грађење путева у републици Србији</w:t>
            </w:r>
            <w:r>
              <w:rPr>
                <w:rFonts w:ascii="Times New Roman" w:hAnsi="Times New Roman" w:cs="Times New Roman"/>
                <w:sz w:val="24"/>
                <w:szCs w:val="24"/>
                <w:lang w:val="sr-Cyrl-RS"/>
              </w:rPr>
              <w:t xml:space="preserve"> (СРЦС)</w:t>
            </w:r>
            <w:r w:rsidRPr="00C43F26">
              <w:rPr>
                <w:rFonts w:ascii="Times New Roman" w:hAnsi="Times New Roman" w:cs="Times New Roman"/>
                <w:sz w:val="24"/>
                <w:szCs w:val="24"/>
                <w:lang w:val="sr-Cyrl-RS"/>
              </w:rPr>
              <w:t>, Пројекат рехабилитације Транспорта,</w:t>
            </w:r>
            <w:r>
              <w:rPr>
                <w:rFonts w:ascii="Times New Roman" w:hAnsi="Times New Roman" w:cs="Times New Roman"/>
                <w:sz w:val="24"/>
                <w:szCs w:val="24"/>
                <w:lang w:val="sr-Cyrl-RS"/>
              </w:rPr>
              <w:t xml:space="preserve"> </w:t>
            </w:r>
            <w:r w:rsidRPr="00C43F26">
              <w:rPr>
                <w:rFonts w:ascii="Times New Roman" w:hAnsi="Times New Roman" w:cs="Times New Roman"/>
                <w:sz w:val="24"/>
                <w:szCs w:val="24"/>
                <w:lang w:val="sr-Cyrl-RS"/>
              </w:rPr>
              <w:t>финансиран од стране Светске Банке, Европске Инвестиционе Банке и Европске Банке за обнову и развој</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ЈП Путеви Србије, 2012. </w:t>
            </w:r>
            <w:r>
              <w:rPr>
                <w:rFonts w:ascii="Times New Roman" w:hAnsi="Times New Roman" w:cs="Times New Roman"/>
                <w:sz w:val="24"/>
                <w:szCs w:val="24"/>
                <w:lang w:val="sr-Cyrl-RS"/>
              </w:rPr>
              <w:t>г</w:t>
            </w:r>
            <w:r w:rsidRPr="00C43F26">
              <w:rPr>
                <w:rFonts w:ascii="Times New Roman" w:hAnsi="Times New Roman" w:cs="Times New Roman"/>
                <w:sz w:val="24"/>
                <w:szCs w:val="24"/>
                <w:lang w:val="sr-Cyrl-RS"/>
              </w:rPr>
              <w:t>одина</w:t>
            </w:r>
            <w:r>
              <w:rPr>
                <w:rFonts w:ascii="Times New Roman" w:hAnsi="Times New Roman" w:cs="Times New Roman"/>
                <w:sz w:val="24"/>
                <w:szCs w:val="24"/>
                <w:lang w:val="sr-Latn-RS"/>
              </w:rPr>
              <w:t>,</w:t>
            </w:r>
          </w:p>
          <w:p w:rsidR="00B66BA5" w:rsidRPr="00F0102C" w:rsidRDefault="00B66BA5" w:rsidP="00B66BA5">
            <w:pPr>
              <w:pStyle w:val="PlainText"/>
              <w:numPr>
                <w:ilvl w:val="0"/>
                <w:numId w:val="12"/>
              </w:numPr>
              <w:rPr>
                <w:rFonts w:ascii="Times New Roman" w:hAnsi="Times New Roman" w:cs="Times New Roman"/>
                <w:sz w:val="24"/>
                <w:szCs w:val="24"/>
                <w:lang w:val="sr-Latn-RS"/>
              </w:rPr>
            </w:pPr>
            <w:r>
              <w:rPr>
                <w:rFonts w:ascii="Times New Roman" w:hAnsi="Times New Roman" w:cs="Times New Roman"/>
                <w:sz w:val="24"/>
                <w:szCs w:val="24"/>
                <w:lang w:val="sr-Cyrl-RS"/>
              </w:rPr>
              <w:t>П</w:t>
            </w:r>
            <w:r w:rsidRPr="00C43F26">
              <w:rPr>
                <w:rFonts w:ascii="Times New Roman" w:hAnsi="Times New Roman" w:cs="Times New Roman"/>
                <w:sz w:val="24"/>
                <w:szCs w:val="24"/>
                <w:lang w:val="sr-Cyrl-RS"/>
              </w:rPr>
              <w:t>КК – План Контроле Квалитета, Пројекат</w:t>
            </w:r>
            <w:r>
              <w:rPr>
                <w:rFonts w:ascii="Times New Roman" w:hAnsi="Times New Roman" w:cs="Times New Roman"/>
                <w:sz w:val="24"/>
                <w:szCs w:val="24"/>
                <w:lang w:val="sr-Cyrl-RS"/>
              </w:rPr>
              <w:t xml:space="preserve"> рехабилитације путева и безбедности –</w:t>
            </w:r>
            <w:r w:rsidRPr="00C43F26">
              <w:rPr>
                <w:rFonts w:ascii="Times New Roman" w:hAnsi="Times New Roman" w:cs="Times New Roman"/>
                <w:sz w:val="24"/>
                <w:szCs w:val="24"/>
                <w:lang w:val="sr-Cyrl-RS"/>
              </w:rPr>
              <w:t xml:space="preserve"> РРСП</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финансиран од стране Светске Банке, Европске Инвестиционе Банке и Европске Банке за обнову и развој, ЈП Путеви Србије, 2017. </w:t>
            </w:r>
            <w:r>
              <w:rPr>
                <w:rFonts w:ascii="Times New Roman" w:hAnsi="Times New Roman" w:cs="Times New Roman"/>
                <w:sz w:val="24"/>
                <w:szCs w:val="24"/>
                <w:lang w:val="sr-Cyrl-RS"/>
              </w:rPr>
              <w:t>година,</w:t>
            </w:r>
          </w:p>
          <w:p w:rsidR="00B66BA5" w:rsidRPr="00EE1497" w:rsidRDefault="00B66BA5" w:rsidP="00B66BA5">
            <w:pPr>
              <w:pStyle w:val="PlainText"/>
              <w:numPr>
                <w:ilvl w:val="0"/>
                <w:numId w:val="12"/>
              </w:numPr>
              <w:rPr>
                <w:rFonts w:ascii="Times New Roman" w:hAnsi="Times New Roman" w:cs="Times New Roman"/>
                <w:sz w:val="24"/>
                <w:szCs w:val="24"/>
                <w:lang w:val="sr-Latn-RS"/>
              </w:rPr>
            </w:pPr>
            <w:r>
              <w:rPr>
                <w:rFonts w:ascii="Times New Roman" w:hAnsi="Times New Roman" w:cs="Times New Roman"/>
                <w:sz w:val="24"/>
                <w:szCs w:val="24"/>
                <w:lang w:val="sr-Cyrl-RS"/>
              </w:rPr>
              <w:t>итд.</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lastRenderedPageBreak/>
              <w:t>Испитивања површине изведених слојева коловоза:</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42) Неправилност површине слојева коловозне конструкције — испитивање равњачом, СРПС ЕН 13036-7,</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44) Показатељи попречне неравности методом помоћу летве, СРПС ЕН 13036-8,</w:t>
            </w:r>
          </w:p>
        </w:tc>
        <w:tc>
          <w:tcPr>
            <w:tcW w:w="5812" w:type="dxa"/>
          </w:tcPr>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Стандардом СРПС</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ЕН</w:t>
            </w:r>
            <w:r w:rsidRPr="00C9658A">
              <w:rPr>
                <w:rFonts w:ascii="Times New Roman" w:hAnsi="Times New Roman" w:cs="Times New Roman"/>
                <w:sz w:val="24"/>
                <w:szCs w:val="24"/>
                <w:lang w:val="sr-Cyrl-RS"/>
              </w:rPr>
              <w:t xml:space="preserve"> 13036-7:2012 </w:t>
            </w:r>
            <w:r>
              <w:rPr>
                <w:rFonts w:ascii="Times New Roman" w:hAnsi="Times New Roman" w:cs="Times New Roman"/>
                <w:sz w:val="24"/>
                <w:szCs w:val="24"/>
                <w:lang w:val="sr-Cyrl-RS"/>
              </w:rPr>
              <w:t>- Површинске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карактеристике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путева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аеродромских</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саобраћајних</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површина</w:t>
            </w:r>
            <w:r w:rsidRPr="00C9658A">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Методе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испитивања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Pr="00C9658A">
              <w:rPr>
                <w:rFonts w:ascii="Times New Roman" w:hAnsi="Times New Roman" w:cs="Times New Roman"/>
                <w:sz w:val="24"/>
                <w:szCs w:val="24"/>
                <w:lang w:val="sr-Cyrl-RS"/>
              </w:rPr>
              <w:t xml:space="preserve"> 7: </w:t>
            </w:r>
            <w:r>
              <w:rPr>
                <w:rFonts w:ascii="Times New Roman" w:hAnsi="Times New Roman" w:cs="Times New Roman"/>
                <w:sz w:val="24"/>
                <w:szCs w:val="24"/>
                <w:lang w:val="sr-Cyrl-RS"/>
              </w:rPr>
              <w:t>Мерење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неправилности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површине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слојева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коловозне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конструкције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испитивање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равњачом, дефинише се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метода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испитивања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мерење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појединачних</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неправилности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постојећих</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нових</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путних површина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Неправилности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измерене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овом</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европском</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стандарду</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дефинишу</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искључиво</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висинско</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одступање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доње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површине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равњаче</w:t>
            </w:r>
            <w:r w:rsidRPr="00C9658A">
              <w:rPr>
                <w:rFonts w:ascii="Times New Roman" w:hAnsi="Times New Roman" w:cs="Times New Roman"/>
                <w:sz w:val="24"/>
                <w:szCs w:val="24"/>
                <w:lang w:val="sr-Cyrl-RS"/>
              </w:rPr>
              <w:t>.</w:t>
            </w:r>
          </w:p>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Стандардом СРПС</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ЕН</w:t>
            </w:r>
            <w:r w:rsidRPr="00C9658A">
              <w:rPr>
                <w:rFonts w:ascii="Times New Roman" w:hAnsi="Times New Roman" w:cs="Times New Roman"/>
                <w:sz w:val="24"/>
                <w:szCs w:val="24"/>
                <w:lang w:val="sr-Cyrl-RS"/>
              </w:rPr>
              <w:t xml:space="preserve"> 13036-8:2012 </w:t>
            </w:r>
            <w:r>
              <w:rPr>
                <w:rFonts w:ascii="Times New Roman" w:hAnsi="Times New Roman" w:cs="Times New Roman"/>
                <w:sz w:val="24"/>
                <w:szCs w:val="24"/>
                <w:lang w:val="sr-Cyrl-RS"/>
              </w:rPr>
              <w:t>- Површинске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карактеристике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путева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аеродромских</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саобраћајних</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површина</w:t>
            </w:r>
            <w:r w:rsidRPr="00C9658A">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Методе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испитивања</w:t>
            </w:r>
            <w:r w:rsidRPr="00C9658A">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Део</w:t>
            </w:r>
            <w:r w:rsidRPr="00C9658A">
              <w:rPr>
                <w:rFonts w:ascii="Times New Roman" w:hAnsi="Times New Roman" w:cs="Times New Roman"/>
                <w:sz w:val="24"/>
                <w:szCs w:val="24"/>
                <w:lang w:val="sr-Cyrl-RS"/>
              </w:rPr>
              <w:t xml:space="preserve"> 8: </w:t>
            </w:r>
            <w:r>
              <w:rPr>
                <w:rFonts w:ascii="Times New Roman" w:hAnsi="Times New Roman" w:cs="Times New Roman"/>
                <w:sz w:val="24"/>
                <w:szCs w:val="24"/>
                <w:lang w:val="sr-Cyrl-RS"/>
              </w:rPr>
              <w:t>Одређивање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показатеља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попречне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неравности, дефинишу</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различити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показатељи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попречне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неравности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површине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коловоза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путевима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аеродромима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одговарајуће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методе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оцене</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извештавања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Попречна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неравност</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путног</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профила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обухвата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низ</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параметара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што</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lastRenderedPageBreak/>
              <w:t>нагиб</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попречног</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профила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неправилности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различити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недостаци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попречном</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профилу</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подужни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колотрази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траговима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точкова</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настали</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услед</w:t>
            </w:r>
            <w:r w:rsidRPr="00C9658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саобраћаја.</w:t>
            </w:r>
          </w:p>
          <w:p w:rsidR="00B66BA5" w:rsidRDefault="00B66BA5" w:rsidP="00E175F3">
            <w:pPr>
              <w:pStyle w:val="PlainText"/>
              <w:rPr>
                <w:rFonts w:ascii="Times New Roman" w:hAnsi="Times New Roman" w:cs="Times New Roman"/>
                <w:sz w:val="24"/>
                <w:szCs w:val="24"/>
                <w:lang w:val="sr-Cyrl-RS"/>
              </w:rPr>
            </w:pPr>
          </w:p>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Имајући у виду да је равност површине коловоза једна од најважнијих карактеристика коловоза за будуће кориснике путева, Наручилац сматра ове методе веома важним.</w:t>
            </w:r>
          </w:p>
          <w:p w:rsidR="00B66BA5" w:rsidRDefault="00B66BA5" w:rsidP="00E175F3">
            <w:pPr>
              <w:pStyle w:val="PlainText"/>
              <w:rPr>
                <w:rFonts w:ascii="Times New Roman" w:hAnsi="Times New Roman" w:cs="Times New Roman"/>
                <w:sz w:val="24"/>
                <w:szCs w:val="24"/>
                <w:lang w:val="sr-Cyrl-RS"/>
              </w:rPr>
            </w:pPr>
          </w:p>
          <w:p w:rsidR="00B66BA5" w:rsidRDefault="00B66BA5" w:rsidP="00E175F3">
            <w:pPr>
              <w:pStyle w:val="PlainText"/>
              <w:rPr>
                <w:rFonts w:ascii="Times New Roman" w:hAnsi="Times New Roman" w:cs="Times New Roman"/>
                <w:sz w:val="24"/>
                <w:szCs w:val="24"/>
                <w:lang w:val="sr-Latn-RS"/>
              </w:rPr>
            </w:pPr>
            <w:r>
              <w:rPr>
                <w:rFonts w:ascii="Times New Roman" w:hAnsi="Times New Roman" w:cs="Times New Roman"/>
                <w:sz w:val="24"/>
                <w:szCs w:val="24"/>
                <w:lang w:val="sr-Cyrl-RS"/>
              </w:rPr>
              <w:t>Ова испитивања су захтевана у следећим општим техничким условима</w:t>
            </w:r>
            <w:r>
              <w:rPr>
                <w:rFonts w:ascii="Times New Roman" w:hAnsi="Times New Roman" w:cs="Times New Roman"/>
                <w:sz w:val="24"/>
                <w:szCs w:val="24"/>
                <w:lang w:val="sr-Latn-RS"/>
              </w:rPr>
              <w:t>:</w:t>
            </w:r>
          </w:p>
          <w:p w:rsidR="00B66BA5" w:rsidRDefault="00B66BA5" w:rsidP="00B66BA5">
            <w:pPr>
              <w:pStyle w:val="PlainText"/>
              <w:numPr>
                <w:ilvl w:val="0"/>
                <w:numId w:val="12"/>
              </w:numPr>
              <w:rPr>
                <w:rFonts w:ascii="Times New Roman" w:hAnsi="Times New Roman" w:cs="Times New Roman"/>
                <w:sz w:val="24"/>
                <w:szCs w:val="24"/>
                <w:lang w:val="sr-Cyrl-RS"/>
              </w:rPr>
            </w:pPr>
            <w:r w:rsidRPr="00C474C9">
              <w:rPr>
                <w:rFonts w:ascii="Times New Roman" w:hAnsi="Times New Roman" w:cs="Times New Roman"/>
                <w:sz w:val="24"/>
                <w:szCs w:val="24"/>
                <w:lang w:val="sr-Cyrl-RS"/>
              </w:rPr>
              <w:t>Техничким Условима за грађење путева у републици Србији (СРЦС), Пројекат рехабилитације Транспорта, финансиран од стране Светске Банке, Европске Инвестиционе Банке и Европске Банке за обнову и развој, ЈП Путеви Србије, 2012. година</w:t>
            </w:r>
            <w:r w:rsidRPr="00C474C9">
              <w:rPr>
                <w:rFonts w:ascii="Times New Roman" w:hAnsi="Times New Roman" w:cs="Times New Roman"/>
                <w:sz w:val="24"/>
                <w:szCs w:val="24"/>
                <w:lang w:val="sr-Latn-RS"/>
              </w:rPr>
              <w:t>,</w:t>
            </w:r>
          </w:p>
          <w:p w:rsidR="00B66BA5" w:rsidRDefault="00B66BA5" w:rsidP="00B66BA5">
            <w:pPr>
              <w:pStyle w:val="PlainText"/>
              <w:numPr>
                <w:ilvl w:val="0"/>
                <w:numId w:val="12"/>
              </w:numPr>
              <w:rPr>
                <w:rFonts w:ascii="Times New Roman" w:hAnsi="Times New Roman" w:cs="Times New Roman"/>
                <w:sz w:val="24"/>
                <w:szCs w:val="24"/>
                <w:lang w:val="sr-Cyrl-RS"/>
              </w:rPr>
            </w:pPr>
            <w:r w:rsidRPr="00C474C9">
              <w:rPr>
                <w:rFonts w:ascii="Times New Roman" w:hAnsi="Times New Roman" w:cs="Times New Roman"/>
                <w:sz w:val="24"/>
                <w:szCs w:val="24"/>
                <w:lang w:val="sr-Cyrl-RS"/>
              </w:rPr>
              <w:t xml:space="preserve">ПКК – План Контроле Квалитета, Пројекат рехабилитације путева и безбедности – РРСП, финансиран од стране Светске Банке, Европске Инвестиционе Банке и Европске Банке за обнову и развој, ЈП Путеви Србије, 2017. </w:t>
            </w:r>
            <w:r>
              <w:rPr>
                <w:rFonts w:ascii="Times New Roman" w:hAnsi="Times New Roman" w:cs="Times New Roman"/>
                <w:sz w:val="24"/>
                <w:szCs w:val="24"/>
                <w:lang w:val="sr-Cyrl-RS"/>
              </w:rPr>
              <w:t>година,</w:t>
            </w:r>
          </w:p>
          <w:p w:rsidR="00B66BA5" w:rsidRPr="00583D39" w:rsidRDefault="00B66BA5" w:rsidP="00B66BA5">
            <w:pPr>
              <w:pStyle w:val="PlainText"/>
              <w:numPr>
                <w:ilvl w:val="0"/>
                <w:numId w:val="12"/>
              </w:numPr>
              <w:rPr>
                <w:rFonts w:ascii="Times New Roman" w:hAnsi="Times New Roman" w:cs="Times New Roman"/>
                <w:sz w:val="24"/>
                <w:szCs w:val="24"/>
                <w:lang w:val="sr-Cyrl-RS"/>
              </w:rPr>
            </w:pPr>
            <w:r>
              <w:rPr>
                <w:rFonts w:ascii="Times New Roman" w:hAnsi="Times New Roman" w:cs="Times New Roman"/>
                <w:sz w:val="24"/>
                <w:szCs w:val="24"/>
                <w:lang w:val="sr-Cyrl-RS"/>
              </w:rPr>
              <w:t>итд.</w:t>
            </w:r>
          </w:p>
        </w:tc>
      </w:tr>
      <w:tr w:rsidR="00B66BA5" w:rsidRPr="00C474C9" w:rsidTr="00E175F3">
        <w:tc>
          <w:tcPr>
            <w:tcW w:w="3544" w:type="dxa"/>
            <w:tcMar>
              <w:top w:w="57" w:type="dxa"/>
              <w:left w:w="57" w:type="dxa"/>
              <w:bottom w:w="57" w:type="dxa"/>
              <w:right w:w="57" w:type="dxa"/>
            </w:tcMar>
            <w:vAlign w:val="center"/>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lastRenderedPageBreak/>
              <w:t>Испитивања каменог агрегата:</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52) Агрегат загађен органским материјама према СРПС Б.Б8.040,</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 xml:space="preserve">54) Отпорност каменог агрегата на хабање (Mikro Deval), СРПС ЕН 1097-1, </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55) Коефицијент полираности камена (PSV — Polishing Stone Value), СРПС ЕН 1097-8,</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56) Облик зрна методом кљунастог мерила, СРПС Б.Б8.048,</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 xml:space="preserve">57) Постојаност каменог агрегата на замрзавање и одмрзавање, СРПС ЕН 1367-1, </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 xml:space="preserve">58) Стварна запреминска маса и упијање воде, СРПС ЕН 1097-6, </w:t>
            </w:r>
          </w:p>
        </w:tc>
        <w:tc>
          <w:tcPr>
            <w:tcW w:w="5812" w:type="dxa"/>
          </w:tcPr>
          <w:p w:rsidR="00B66BA5" w:rsidRPr="0072609A"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Загађеност органским материјама представља предуслов да је камени агрегат чист и да потиче из контролисаних услова производње, а самим тим да ће поседовати постојаност и трајност, као и остале захтеване карактеристике. </w:t>
            </w:r>
            <w:r w:rsidRPr="0072609A">
              <w:rPr>
                <w:rFonts w:ascii="Times New Roman" w:hAnsi="Times New Roman" w:cs="Times New Roman"/>
                <w:sz w:val="24"/>
                <w:szCs w:val="24"/>
                <w:lang w:val="sr-Cyrl-RS"/>
              </w:rPr>
              <w:t>Прописано у новом Правилником о техничким захтевима за фракционисани агрегат за бетон и асфалт</w:t>
            </w:r>
            <w:r w:rsidRPr="0072609A">
              <w:rPr>
                <w:rFonts w:ascii="Times New Roman" w:hAnsi="Times New Roman" w:cs="Times New Roman"/>
                <w:sz w:val="24"/>
                <w:szCs w:val="24"/>
                <w:lang w:val="sr-Latn-RS"/>
              </w:rPr>
              <w:t xml:space="preserve"> (</w:t>
            </w:r>
            <w:r w:rsidRPr="0072609A">
              <w:rPr>
                <w:rFonts w:ascii="Times New Roman" w:hAnsi="Times New Roman" w:cs="Times New Roman"/>
                <w:sz w:val="24"/>
                <w:szCs w:val="24"/>
                <w:lang w:val="sr-Cyrl-RS"/>
              </w:rPr>
              <w:t>"Службени гласник РС", број 78 од 29. маја 2020.</w:t>
            </w:r>
            <w:r w:rsidRPr="0072609A">
              <w:rPr>
                <w:rFonts w:ascii="Times New Roman" w:hAnsi="Times New Roman" w:cs="Times New Roman"/>
                <w:sz w:val="24"/>
                <w:szCs w:val="24"/>
                <w:lang w:val="sr-Latn-RS"/>
              </w:rPr>
              <w:t>)</w:t>
            </w:r>
          </w:p>
          <w:p w:rsidR="00B66BA5" w:rsidRDefault="00B66BA5" w:rsidP="00E175F3">
            <w:pPr>
              <w:pStyle w:val="PlainText"/>
              <w:rPr>
                <w:rFonts w:ascii="Times New Roman" w:hAnsi="Times New Roman" w:cs="Times New Roman"/>
                <w:sz w:val="24"/>
                <w:szCs w:val="24"/>
                <w:lang w:val="sr-Cyrl-RS"/>
              </w:rPr>
            </w:pPr>
          </w:p>
          <w:p w:rsidR="00B66BA5" w:rsidRPr="0072609A" w:rsidRDefault="00B66BA5" w:rsidP="00E175F3">
            <w:pPr>
              <w:pStyle w:val="PlainText"/>
              <w:rPr>
                <w:rFonts w:ascii="Times New Roman" w:hAnsi="Times New Roman" w:cs="Times New Roman"/>
                <w:sz w:val="24"/>
                <w:szCs w:val="24"/>
                <w:lang w:val="sr-Latn-RS"/>
              </w:rPr>
            </w:pPr>
            <w:r>
              <w:rPr>
                <w:rFonts w:ascii="Times New Roman" w:hAnsi="Times New Roman" w:cs="Times New Roman"/>
                <w:sz w:val="24"/>
                <w:szCs w:val="24"/>
                <w:lang w:val="sr-Cyrl-RS"/>
              </w:rPr>
              <w:t>Мi</w:t>
            </w:r>
            <w:r>
              <w:rPr>
                <w:rFonts w:ascii="Times New Roman" w:hAnsi="Times New Roman" w:cs="Times New Roman"/>
                <w:sz w:val="24"/>
                <w:szCs w:val="24"/>
                <w:lang w:val="sr-Latn-RS"/>
              </w:rPr>
              <w:t>c</w:t>
            </w:r>
            <w:r>
              <w:rPr>
                <w:rFonts w:ascii="Times New Roman" w:hAnsi="Times New Roman" w:cs="Times New Roman"/>
                <w:sz w:val="24"/>
                <w:szCs w:val="24"/>
                <w:lang w:val="sr-Cyrl-RS"/>
              </w:rPr>
              <w:t xml:space="preserve">rо dеvаl и PSV односно отпорност на хабање и полирање представљају кључне физичко механичке карактеристике каменог агрегата и њихово извођење је неопходно за све врсте камених агрегата које ће се користити на предметном пројекту. </w:t>
            </w:r>
            <w:r w:rsidRPr="0072609A">
              <w:rPr>
                <w:rFonts w:ascii="Times New Roman" w:hAnsi="Times New Roman" w:cs="Times New Roman"/>
                <w:sz w:val="24"/>
                <w:szCs w:val="24"/>
                <w:lang w:val="sr-Cyrl-RS"/>
              </w:rPr>
              <w:t>Прописано у новом Правилником о техничким захтевима за фракционисани агрегат за бетон и асфалт</w:t>
            </w:r>
            <w:r w:rsidRPr="0072609A">
              <w:rPr>
                <w:rFonts w:ascii="Times New Roman" w:hAnsi="Times New Roman" w:cs="Times New Roman"/>
                <w:sz w:val="24"/>
                <w:szCs w:val="24"/>
                <w:lang w:val="sr-Latn-RS"/>
              </w:rPr>
              <w:t xml:space="preserve"> (</w:t>
            </w:r>
            <w:r w:rsidRPr="0072609A">
              <w:rPr>
                <w:rFonts w:ascii="Times New Roman" w:hAnsi="Times New Roman" w:cs="Times New Roman"/>
                <w:sz w:val="24"/>
                <w:szCs w:val="24"/>
                <w:lang w:val="sr-Cyrl-RS"/>
              </w:rPr>
              <w:t>"Службени гласник РС", број 78 од 29. маја 2020.</w:t>
            </w:r>
            <w:r w:rsidRPr="0072609A">
              <w:rPr>
                <w:rFonts w:ascii="Times New Roman" w:hAnsi="Times New Roman" w:cs="Times New Roman"/>
                <w:sz w:val="24"/>
                <w:szCs w:val="24"/>
                <w:lang w:val="sr-Latn-RS"/>
              </w:rPr>
              <w:t>)</w:t>
            </w:r>
          </w:p>
          <w:p w:rsidR="00B66BA5" w:rsidRDefault="00B66BA5" w:rsidP="00E175F3">
            <w:pPr>
              <w:pStyle w:val="PlainText"/>
              <w:rPr>
                <w:rFonts w:ascii="Times New Roman" w:hAnsi="Times New Roman" w:cs="Times New Roman"/>
                <w:sz w:val="24"/>
                <w:szCs w:val="24"/>
                <w:lang w:val="sr-Cyrl-RS"/>
              </w:rPr>
            </w:pPr>
          </w:p>
          <w:p w:rsidR="00B66BA5" w:rsidRPr="0072609A" w:rsidRDefault="00B66BA5" w:rsidP="00E175F3">
            <w:pPr>
              <w:spacing w:after="0"/>
              <w:jc w:val="both"/>
              <w:rPr>
                <w:rFonts w:ascii="Times New Roman" w:hAnsi="Times New Roman" w:cs="Times New Roman"/>
                <w:i/>
                <w:sz w:val="24"/>
                <w:szCs w:val="24"/>
                <w:lang w:val="sr-Cyrl-RS"/>
              </w:rPr>
            </w:pPr>
            <w:r>
              <w:rPr>
                <w:rFonts w:ascii="Times New Roman" w:hAnsi="Times New Roman" w:cs="Times New Roman"/>
                <w:sz w:val="24"/>
                <w:szCs w:val="24"/>
                <w:lang w:val="sr-Cyrl-RS"/>
              </w:rPr>
              <w:lastRenderedPageBreak/>
              <w:t xml:space="preserve">Упијање воде и отпорност на мраз (СРПС ЕН 1367-1) су у последње време карактеристике каменог агрегата које имају пресудан утицај на његову употребљивост, јер у случају повећаног упијања воде каменог агрегата, што је веома чест случај на нашем тржишту, неопходно је да камени агрегат испуњава захтеве у погледу отпорности на мраз према 1367-1, што је дефинисано и новим </w:t>
            </w:r>
            <w:r w:rsidRPr="00A50F2D">
              <w:rPr>
                <w:rFonts w:ascii="Times New Roman" w:hAnsi="Times New Roman" w:cs="Times New Roman"/>
                <w:i/>
                <w:sz w:val="24"/>
                <w:szCs w:val="24"/>
                <w:lang w:val="sr-Cyrl-RS"/>
              </w:rPr>
              <w:t>Правилник</w:t>
            </w:r>
            <w:r>
              <w:rPr>
                <w:rFonts w:ascii="Times New Roman" w:hAnsi="Times New Roman" w:cs="Times New Roman"/>
                <w:i/>
                <w:sz w:val="24"/>
                <w:szCs w:val="24"/>
                <w:lang w:val="sr-Cyrl-RS"/>
              </w:rPr>
              <w:t>ом</w:t>
            </w:r>
            <w:r w:rsidRPr="00A50F2D">
              <w:rPr>
                <w:rFonts w:ascii="Times New Roman" w:hAnsi="Times New Roman" w:cs="Times New Roman"/>
                <w:i/>
                <w:sz w:val="24"/>
                <w:szCs w:val="24"/>
                <w:lang w:val="sr-Cyrl-RS"/>
              </w:rPr>
              <w:t xml:space="preserve"> о техничким захтевима за фракционисани агрегат за бетон и асфалт</w:t>
            </w:r>
            <w:r w:rsidRPr="00A50F2D">
              <w:rPr>
                <w:rFonts w:ascii="Times New Roman" w:hAnsi="Times New Roman" w:cs="Times New Roman"/>
                <w:i/>
                <w:sz w:val="24"/>
                <w:szCs w:val="24"/>
                <w:lang w:val="sr-Latn-RS"/>
              </w:rPr>
              <w:t xml:space="preserve"> (</w:t>
            </w:r>
            <w:r w:rsidRPr="00A50F2D">
              <w:rPr>
                <w:rFonts w:ascii="Times New Roman" w:hAnsi="Times New Roman" w:cs="Times New Roman"/>
                <w:i/>
                <w:sz w:val="24"/>
                <w:szCs w:val="24"/>
                <w:lang w:val="sr-Cyrl-RS"/>
              </w:rPr>
              <w:t>"Службени гласник РС", број 78 од 29. маја 2020.</w:t>
            </w:r>
            <w:r w:rsidRPr="00A50F2D">
              <w:rPr>
                <w:rFonts w:ascii="Times New Roman" w:hAnsi="Times New Roman" w:cs="Times New Roman"/>
                <w:i/>
                <w:sz w:val="24"/>
                <w:szCs w:val="24"/>
                <w:lang w:val="sr-Latn-RS"/>
              </w:rPr>
              <w:t>)</w:t>
            </w:r>
            <w:r>
              <w:rPr>
                <w:rFonts w:ascii="Times New Roman" w:hAnsi="Times New Roman" w:cs="Times New Roman"/>
                <w:sz w:val="24"/>
                <w:szCs w:val="24"/>
                <w:lang w:val="sr-Latn-RS"/>
              </w:rPr>
              <w:t xml:space="preserve"> </w:t>
            </w:r>
            <w:r w:rsidRPr="0072609A">
              <w:rPr>
                <w:rFonts w:ascii="Times New Roman" w:hAnsi="Times New Roman" w:cs="Times New Roman"/>
                <w:i/>
                <w:sz w:val="24"/>
                <w:szCs w:val="24"/>
                <w:lang w:val="sr-Cyrl-RS"/>
              </w:rPr>
              <w:t>(којим се предвиђа употреба ових испитних метода према ЕН стандардима за оцену квалитета и употребљивости фракционисаног агрегата за бетон и асфалт, што ће на предметном пројекту бити једна од кључних и најважнијих тема током извођења радова).</w:t>
            </w:r>
          </w:p>
          <w:p w:rsidR="00B66BA5" w:rsidRDefault="00B66BA5" w:rsidP="00E175F3">
            <w:pPr>
              <w:spacing w:after="0"/>
              <w:jc w:val="both"/>
              <w:rPr>
                <w:rFonts w:ascii="Times New Roman" w:hAnsi="Times New Roman" w:cs="Times New Roman"/>
                <w:sz w:val="24"/>
                <w:szCs w:val="24"/>
                <w:lang w:val="sr-Cyrl-RS"/>
              </w:rPr>
            </w:pPr>
          </w:p>
          <w:p w:rsidR="00B66BA5" w:rsidRPr="005D705F"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Ова испитивања су исто захтевана у</w:t>
            </w:r>
            <w:r>
              <w:rPr>
                <w:rFonts w:ascii="Times New Roman" w:hAnsi="Times New Roman" w:cs="Times New Roman"/>
                <w:sz w:val="24"/>
                <w:szCs w:val="24"/>
                <w:lang w:val="sr-Latn-RS"/>
              </w:rPr>
              <w:t>:</w:t>
            </w:r>
          </w:p>
          <w:p w:rsidR="00B66BA5" w:rsidRDefault="00B66BA5" w:rsidP="00B66BA5">
            <w:pPr>
              <w:pStyle w:val="PlainText"/>
              <w:numPr>
                <w:ilvl w:val="0"/>
                <w:numId w:val="12"/>
              </w:numPr>
              <w:jc w:val="both"/>
              <w:rPr>
                <w:rFonts w:ascii="Times New Roman" w:hAnsi="Times New Roman" w:cs="Times New Roman"/>
                <w:sz w:val="24"/>
                <w:szCs w:val="24"/>
                <w:lang w:val="sr-Cyrl-RS"/>
              </w:rPr>
            </w:pPr>
            <w:r w:rsidRPr="0072609A">
              <w:rPr>
                <w:rFonts w:ascii="Times New Roman" w:hAnsi="Times New Roman" w:cs="Times New Roman"/>
                <w:sz w:val="24"/>
                <w:szCs w:val="24"/>
                <w:lang w:val="sr-Cyrl-RS"/>
              </w:rPr>
              <w:t>Правилнику о техничким захтевима за фракционисани агрегат за бетон и асфал</w:t>
            </w:r>
            <w:r w:rsidRPr="0072609A">
              <w:rPr>
                <w:rFonts w:ascii="Times New Roman" w:hAnsi="Times New Roman" w:cs="Times New Roman"/>
                <w:sz w:val="24"/>
                <w:szCs w:val="24"/>
                <w:lang w:val="sr-Latn-RS"/>
              </w:rPr>
              <w:t>t (</w:t>
            </w:r>
            <w:r w:rsidRPr="0072609A">
              <w:rPr>
                <w:rFonts w:ascii="Times New Roman" w:hAnsi="Times New Roman" w:cs="Times New Roman"/>
                <w:sz w:val="24"/>
                <w:szCs w:val="24"/>
                <w:lang w:val="sr-Cyrl-RS"/>
              </w:rPr>
              <w:t>"Службени гласник РС", број 78 од 29. маја 2020.</w:t>
            </w:r>
            <w:r w:rsidRPr="0072609A">
              <w:rPr>
                <w:rFonts w:ascii="Times New Roman" w:hAnsi="Times New Roman" w:cs="Times New Roman"/>
                <w:sz w:val="24"/>
                <w:szCs w:val="24"/>
                <w:lang w:val="sr-Latn-RS"/>
              </w:rPr>
              <w:t>)</w:t>
            </w:r>
            <w:r>
              <w:rPr>
                <w:rFonts w:ascii="Times New Roman" w:hAnsi="Times New Roman" w:cs="Times New Roman"/>
                <w:sz w:val="24"/>
                <w:szCs w:val="24"/>
                <w:lang w:val="sr-Cyrl-RS"/>
              </w:rPr>
              <w:t>,</w:t>
            </w:r>
          </w:p>
          <w:p w:rsidR="00B66BA5" w:rsidRDefault="00B66BA5" w:rsidP="00B66BA5">
            <w:pPr>
              <w:pStyle w:val="PlainText"/>
              <w:numPr>
                <w:ilvl w:val="0"/>
                <w:numId w:val="12"/>
              </w:numPr>
              <w:jc w:val="both"/>
              <w:rPr>
                <w:rFonts w:ascii="Times New Roman" w:hAnsi="Times New Roman" w:cs="Times New Roman"/>
                <w:sz w:val="24"/>
                <w:szCs w:val="24"/>
                <w:lang w:val="sr-Cyrl-RS"/>
              </w:rPr>
            </w:pPr>
            <w:r w:rsidRPr="0072609A">
              <w:rPr>
                <w:rFonts w:ascii="Times New Roman" w:hAnsi="Times New Roman" w:cs="Times New Roman"/>
                <w:sz w:val="24"/>
                <w:szCs w:val="24"/>
                <w:lang w:val="sr-Cyrl-RS"/>
              </w:rPr>
              <w:t>Техничким Условима за грађење путева у републици Србији (СРЦС), Пројекат</w:t>
            </w:r>
            <w:r w:rsidRPr="003B10CF">
              <w:rPr>
                <w:rFonts w:ascii="Times New Roman" w:hAnsi="Times New Roman" w:cs="Times New Roman"/>
                <w:sz w:val="24"/>
                <w:szCs w:val="24"/>
                <w:lang w:val="sr-Cyrl-RS"/>
              </w:rPr>
              <w:t xml:space="preserve"> рехабилитације Транспорта, финансиран од стране Светске Банке, Европске Инвестиционе Банке и Европске Банке за обнову и развој, ЈП Путеви Србије, 2012. година</w:t>
            </w:r>
            <w:r w:rsidRPr="003B10CF">
              <w:rPr>
                <w:rFonts w:ascii="Times New Roman" w:hAnsi="Times New Roman" w:cs="Times New Roman"/>
                <w:sz w:val="24"/>
                <w:szCs w:val="24"/>
                <w:lang w:val="sr-Latn-RS"/>
              </w:rPr>
              <w:t>,</w:t>
            </w:r>
          </w:p>
          <w:p w:rsidR="00B66BA5" w:rsidRDefault="00B66BA5" w:rsidP="00B66BA5">
            <w:pPr>
              <w:pStyle w:val="PlainText"/>
              <w:numPr>
                <w:ilvl w:val="0"/>
                <w:numId w:val="12"/>
              </w:numPr>
              <w:jc w:val="both"/>
              <w:rPr>
                <w:rFonts w:ascii="Times New Roman" w:hAnsi="Times New Roman" w:cs="Times New Roman"/>
                <w:sz w:val="24"/>
                <w:szCs w:val="24"/>
                <w:lang w:val="sr-Cyrl-RS"/>
              </w:rPr>
            </w:pPr>
            <w:r w:rsidRPr="003B10CF">
              <w:rPr>
                <w:rFonts w:ascii="Times New Roman" w:hAnsi="Times New Roman" w:cs="Times New Roman"/>
                <w:sz w:val="24"/>
                <w:szCs w:val="24"/>
                <w:lang w:val="sr-Cyrl-RS"/>
              </w:rPr>
              <w:t xml:space="preserve">ПКК – План Контроле Квалитета, Пројекат рехабилитације путева и безбедности – РРСП, финансиран од стране Светске Банке, Европске Инвестиционе Банке и Европске Банке за обнову и развој, ЈП Путеви Србије, 2017. </w:t>
            </w:r>
            <w:r>
              <w:rPr>
                <w:rFonts w:ascii="Times New Roman" w:hAnsi="Times New Roman" w:cs="Times New Roman"/>
                <w:sz w:val="24"/>
                <w:szCs w:val="24"/>
                <w:lang w:val="sr-Cyrl-RS"/>
              </w:rPr>
              <w:t>година,</w:t>
            </w:r>
          </w:p>
          <w:p w:rsidR="00B66BA5" w:rsidRPr="005D705F" w:rsidRDefault="00B66BA5" w:rsidP="00B66BA5">
            <w:pPr>
              <w:pStyle w:val="PlainText"/>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итд.</w:t>
            </w:r>
          </w:p>
        </w:tc>
      </w:tr>
      <w:tr w:rsidR="00B66BA5" w:rsidRPr="003B10CF"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lastRenderedPageBreak/>
              <w:t>Испитивања хидроизолације:</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ED1FFE"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6</w:t>
            </w:r>
            <w:r w:rsidRPr="003B10CF">
              <w:rPr>
                <w:rFonts w:ascii="Times New Roman" w:hAnsi="Times New Roman" w:cs="Times New Roman"/>
                <w:sz w:val="24"/>
                <w:szCs w:val="24"/>
                <w:lang w:val="sr-Cyrl-RS"/>
              </w:rPr>
              <w:t>8</w:t>
            </w:r>
            <w:r w:rsidRPr="00583D39">
              <w:rPr>
                <w:rFonts w:ascii="Times New Roman" w:hAnsi="Times New Roman" w:cs="Times New Roman"/>
                <w:sz w:val="24"/>
                <w:szCs w:val="24"/>
                <w:lang w:val="sr-Cyrl-RS"/>
              </w:rPr>
              <w:t>) Пријањање откидањем (рull off тест), СРПС ЕН ИСО 4624.</w:t>
            </w:r>
          </w:p>
        </w:tc>
        <w:tc>
          <w:tcPr>
            <w:tcW w:w="5812" w:type="dxa"/>
          </w:tcPr>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Конкурсном документацијом су прописана минимална испитивања хидроизолације односно само Pull Оff опитом који је важан јер се њиме доказује, на пример квалитет везе између слоја хидроизолације и мостовске конструкције, која је кључна за трајност асфалтних слојева који се уграђују преко слоја хидроизолације. Ово испитивање се захтева у следећим документима:</w:t>
            </w:r>
          </w:p>
          <w:p w:rsidR="00B66BA5"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Општи Технички Услови за извођење радова, ЈП Путеви Србије, 2009. година,</w:t>
            </w:r>
          </w:p>
          <w:p w:rsidR="00B66BA5" w:rsidRDefault="00B66BA5" w:rsidP="00B66BA5">
            <w:pPr>
              <w:pStyle w:val="PlainText"/>
              <w:numPr>
                <w:ilvl w:val="0"/>
                <w:numId w:val="11"/>
              </w:numPr>
              <w:jc w:val="both"/>
              <w:rPr>
                <w:rFonts w:ascii="Times New Roman" w:hAnsi="Times New Roman" w:cs="Times New Roman"/>
                <w:sz w:val="24"/>
                <w:szCs w:val="24"/>
                <w:lang w:val="sr-Cyrl-RS"/>
              </w:rPr>
            </w:pPr>
            <w:r w:rsidRPr="00C43F26">
              <w:rPr>
                <w:rFonts w:ascii="Times New Roman" w:hAnsi="Times New Roman" w:cs="Times New Roman"/>
                <w:sz w:val="24"/>
                <w:szCs w:val="24"/>
                <w:lang w:val="sr-Cyrl-RS"/>
              </w:rPr>
              <w:t>Технички Услови за грађење путева у републици Србији</w:t>
            </w:r>
            <w:r>
              <w:rPr>
                <w:rFonts w:ascii="Times New Roman" w:hAnsi="Times New Roman" w:cs="Times New Roman"/>
                <w:sz w:val="24"/>
                <w:szCs w:val="24"/>
                <w:lang w:val="sr-Cyrl-RS"/>
              </w:rPr>
              <w:t xml:space="preserve"> (СРЦС)</w:t>
            </w:r>
            <w:r w:rsidRPr="00C43F26">
              <w:rPr>
                <w:rFonts w:ascii="Times New Roman" w:hAnsi="Times New Roman" w:cs="Times New Roman"/>
                <w:sz w:val="24"/>
                <w:szCs w:val="24"/>
                <w:lang w:val="sr-Cyrl-RS"/>
              </w:rPr>
              <w:t>, Пројекат рехабилитације Транспорта,</w:t>
            </w:r>
            <w:r>
              <w:rPr>
                <w:rFonts w:ascii="Times New Roman" w:hAnsi="Times New Roman" w:cs="Times New Roman"/>
                <w:sz w:val="24"/>
                <w:szCs w:val="24"/>
                <w:lang w:val="sr-Cyrl-RS"/>
              </w:rPr>
              <w:t xml:space="preserve"> </w:t>
            </w:r>
            <w:r w:rsidRPr="00C43F26">
              <w:rPr>
                <w:rFonts w:ascii="Times New Roman" w:hAnsi="Times New Roman" w:cs="Times New Roman"/>
                <w:sz w:val="24"/>
                <w:szCs w:val="24"/>
                <w:lang w:val="sr-Cyrl-RS"/>
              </w:rPr>
              <w:t>финансиран од стране Светске Банке, Европске Инвестиционе Банке и Европске Банке за обнову и развој</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ЈП Путеви Србије, 2012. година, </w:t>
            </w:r>
          </w:p>
          <w:p w:rsidR="00B66BA5"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Техничке Спецификације – П</w:t>
            </w:r>
            <w:r w:rsidRPr="00C43F26">
              <w:rPr>
                <w:rFonts w:ascii="Times New Roman" w:hAnsi="Times New Roman" w:cs="Times New Roman"/>
                <w:sz w:val="24"/>
                <w:szCs w:val="24"/>
                <w:lang w:val="sr-Cyrl-RS"/>
              </w:rPr>
              <w:t>КК – План Контроле Квалитета, Пројекат</w:t>
            </w:r>
            <w:r>
              <w:rPr>
                <w:rFonts w:ascii="Times New Roman" w:hAnsi="Times New Roman" w:cs="Times New Roman"/>
                <w:sz w:val="24"/>
                <w:szCs w:val="24"/>
                <w:lang w:val="sr-Cyrl-RS"/>
              </w:rPr>
              <w:t xml:space="preserve"> рехабилитације путева и безбедности –</w:t>
            </w:r>
            <w:r w:rsidRPr="00C43F26">
              <w:rPr>
                <w:rFonts w:ascii="Times New Roman" w:hAnsi="Times New Roman" w:cs="Times New Roman"/>
                <w:sz w:val="24"/>
                <w:szCs w:val="24"/>
                <w:lang w:val="sr-Cyrl-RS"/>
              </w:rPr>
              <w:t xml:space="preserve"> РРСП</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финансиран од стране Светске Банке, Европске Инвестиционе Банке и Европске Банке за обнову и развој,</w:t>
            </w:r>
            <w:r>
              <w:rPr>
                <w:rFonts w:ascii="Times New Roman" w:hAnsi="Times New Roman" w:cs="Times New Roman"/>
                <w:sz w:val="24"/>
                <w:szCs w:val="24"/>
                <w:lang w:val="sr-Cyrl-RS"/>
              </w:rPr>
              <w:t xml:space="preserve"> ЈП Путеви Србије, 2017. Година, </w:t>
            </w:r>
          </w:p>
          <w:p w:rsidR="00B66BA5" w:rsidRPr="00583D39"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итд.</w:t>
            </w:r>
          </w:p>
        </w:tc>
      </w:tr>
      <w:tr w:rsidR="00B66BA5" w:rsidRPr="00ED1FFE"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lastRenderedPageBreak/>
              <w:t>Испитивање мостова пробним оптерећењем</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ED1FFE"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sz w:val="24"/>
                <w:szCs w:val="24"/>
                <w:lang w:val="sr-Cyrl-RS"/>
              </w:rPr>
            </w:pPr>
            <w:r w:rsidRPr="00ED1FFE">
              <w:rPr>
                <w:rFonts w:ascii="Times New Roman" w:hAnsi="Times New Roman" w:cs="Times New Roman"/>
                <w:sz w:val="24"/>
                <w:szCs w:val="24"/>
                <w:lang w:val="sr-Cyrl-RS"/>
              </w:rPr>
              <w:t>72</w:t>
            </w:r>
            <w:r w:rsidRPr="00583D39">
              <w:rPr>
                <w:rFonts w:ascii="Times New Roman" w:hAnsi="Times New Roman" w:cs="Times New Roman"/>
                <w:sz w:val="24"/>
                <w:szCs w:val="24"/>
                <w:lang w:val="sr-Cyrl-RS"/>
              </w:rPr>
              <w:t>) Испитивање мостова пробним оптерећењем, СРПС У.М1.046.</w:t>
            </w:r>
          </w:p>
        </w:tc>
        <w:tc>
          <w:tcPr>
            <w:tcW w:w="5812" w:type="dxa"/>
          </w:tcPr>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Представља испитивање комплетно изграђеног моста након завршетка грађења под критичим оптерећењем са камионима који су натоварени, мере се статички и динамички утицаји. Веома важно испитивање које је прописано следећим документима:</w:t>
            </w:r>
          </w:p>
          <w:p w:rsidR="00B66BA5"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 Технички Услови за извођење радова, ЈП Путеви Србије, 2009. година,</w:t>
            </w:r>
          </w:p>
          <w:p w:rsidR="00B66BA5" w:rsidRDefault="00B66BA5" w:rsidP="00B66BA5">
            <w:pPr>
              <w:pStyle w:val="PlainText"/>
              <w:numPr>
                <w:ilvl w:val="0"/>
                <w:numId w:val="11"/>
              </w:numPr>
              <w:jc w:val="both"/>
              <w:rPr>
                <w:rFonts w:ascii="Times New Roman" w:hAnsi="Times New Roman" w:cs="Times New Roman"/>
                <w:sz w:val="24"/>
                <w:szCs w:val="24"/>
                <w:lang w:val="sr-Cyrl-RS"/>
              </w:rPr>
            </w:pPr>
            <w:r w:rsidRPr="00C43F26">
              <w:rPr>
                <w:rFonts w:ascii="Times New Roman" w:hAnsi="Times New Roman" w:cs="Times New Roman"/>
                <w:sz w:val="24"/>
                <w:szCs w:val="24"/>
                <w:lang w:val="sr-Cyrl-RS"/>
              </w:rPr>
              <w:t>Технички Услови за грађење путева у републици Србији</w:t>
            </w:r>
            <w:r>
              <w:rPr>
                <w:rFonts w:ascii="Times New Roman" w:hAnsi="Times New Roman" w:cs="Times New Roman"/>
                <w:sz w:val="24"/>
                <w:szCs w:val="24"/>
                <w:lang w:val="sr-Cyrl-RS"/>
              </w:rPr>
              <w:t xml:space="preserve"> (СРЦС)</w:t>
            </w:r>
            <w:r w:rsidRPr="00C43F26">
              <w:rPr>
                <w:rFonts w:ascii="Times New Roman" w:hAnsi="Times New Roman" w:cs="Times New Roman"/>
                <w:sz w:val="24"/>
                <w:szCs w:val="24"/>
                <w:lang w:val="sr-Cyrl-RS"/>
              </w:rPr>
              <w:t>, Пројекат рехабилитације Транспорта,</w:t>
            </w:r>
            <w:r>
              <w:rPr>
                <w:rFonts w:ascii="Times New Roman" w:hAnsi="Times New Roman" w:cs="Times New Roman"/>
                <w:sz w:val="24"/>
                <w:szCs w:val="24"/>
                <w:lang w:val="sr-Cyrl-RS"/>
              </w:rPr>
              <w:t xml:space="preserve"> </w:t>
            </w:r>
            <w:r w:rsidRPr="00C43F26">
              <w:rPr>
                <w:rFonts w:ascii="Times New Roman" w:hAnsi="Times New Roman" w:cs="Times New Roman"/>
                <w:sz w:val="24"/>
                <w:szCs w:val="24"/>
                <w:lang w:val="sr-Cyrl-RS"/>
              </w:rPr>
              <w:t>финансиран од стране Светске Банке, Европске Инвестиционе Банке и Европске Банке за обнову и развој</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ЈП Путеви Србије, 2012. година, </w:t>
            </w:r>
          </w:p>
          <w:p w:rsidR="00B66BA5"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C43F26">
              <w:rPr>
                <w:rFonts w:ascii="Times New Roman" w:hAnsi="Times New Roman" w:cs="Times New Roman"/>
                <w:sz w:val="24"/>
                <w:szCs w:val="24"/>
                <w:lang w:val="sr-Cyrl-RS"/>
              </w:rPr>
              <w:t>КК – План Контроле Квалитета, Пројекат</w:t>
            </w:r>
            <w:r>
              <w:rPr>
                <w:rFonts w:ascii="Times New Roman" w:hAnsi="Times New Roman" w:cs="Times New Roman"/>
                <w:sz w:val="24"/>
                <w:szCs w:val="24"/>
                <w:lang w:val="sr-Cyrl-RS"/>
              </w:rPr>
              <w:t xml:space="preserve"> рехабилитације путева и безбедности –</w:t>
            </w:r>
            <w:r w:rsidRPr="00C43F26">
              <w:rPr>
                <w:rFonts w:ascii="Times New Roman" w:hAnsi="Times New Roman" w:cs="Times New Roman"/>
                <w:sz w:val="24"/>
                <w:szCs w:val="24"/>
                <w:lang w:val="sr-Cyrl-RS"/>
              </w:rPr>
              <w:t xml:space="preserve"> РРСП</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финансиран од стране Светске Банке, Европске Инвестиционе Банке и Европске Банке за обнову и развој,</w:t>
            </w:r>
            <w:r>
              <w:rPr>
                <w:rFonts w:ascii="Times New Roman" w:hAnsi="Times New Roman" w:cs="Times New Roman"/>
                <w:sz w:val="24"/>
                <w:szCs w:val="24"/>
                <w:lang w:val="sr-Cyrl-RS"/>
              </w:rPr>
              <w:t xml:space="preserve"> ЈП Путеви Србије, 2017. Година,</w:t>
            </w:r>
          </w:p>
          <w:p w:rsidR="00B66BA5" w:rsidRPr="00ED1FFE"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као и одређеним Правилницима и слично.</w:t>
            </w:r>
          </w:p>
        </w:tc>
      </w:tr>
      <w:tr w:rsidR="00B66BA5" w:rsidRPr="00ED1FFE"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t>Испитивања изведене хоризонталне и вертикалне саобраћајне сигнализације</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sz w:val="24"/>
                <w:szCs w:val="24"/>
                <w:lang w:val="sr-Cyrl-RS"/>
              </w:rPr>
            </w:pPr>
            <w:r w:rsidRPr="00ED1FFE">
              <w:rPr>
                <w:rFonts w:ascii="Times New Roman" w:hAnsi="Times New Roman" w:cs="Times New Roman"/>
                <w:sz w:val="24"/>
                <w:szCs w:val="24"/>
                <w:lang w:val="sr-Cyrl-RS"/>
              </w:rPr>
              <w:t>73</w:t>
            </w:r>
            <w:r w:rsidRPr="00583D39">
              <w:rPr>
                <w:rFonts w:ascii="Times New Roman" w:hAnsi="Times New Roman" w:cs="Times New Roman"/>
                <w:sz w:val="24"/>
                <w:szCs w:val="24"/>
                <w:lang w:val="sr-Cyrl-RS"/>
              </w:rPr>
              <w:t>) Коефицијент сјајности при дифузној светлости - Qd, СРПС ЕН 1436,</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lastRenderedPageBreak/>
              <w:t xml:space="preserve">74) Коефицијент ретрорефлексије сјајности – Ri, СРПС ЕН 1436, </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 xml:space="preserve">75) Отпор према клизању хоризонталне сигнализације на коловозу, СРПС ЕН 1436, </w:t>
            </w:r>
          </w:p>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76) Ретрорефлексија — RA вертикалних ознака на коловозу, СРПС ЕН 12899-1.</w:t>
            </w:r>
          </w:p>
        </w:tc>
        <w:tc>
          <w:tcPr>
            <w:tcW w:w="5812" w:type="dxa"/>
          </w:tcPr>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Захтевана испитивања квалитета уграђене саобраћајне сигнализације представљају веома важан захтев наручиоца у оквиру предметне јавне набавке. Имајући у виду различите врсте, различите технологије за извођење и квалитете материјала за извођење </w:t>
            </w:r>
            <w:r>
              <w:rPr>
                <w:rFonts w:ascii="Times New Roman" w:hAnsi="Times New Roman" w:cs="Times New Roman"/>
                <w:sz w:val="24"/>
                <w:szCs w:val="24"/>
                <w:lang w:val="sr-Cyrl-RS"/>
              </w:rPr>
              <w:lastRenderedPageBreak/>
              <w:t>саобраћајне сигнализације, а са друге стране важност саобраћајне сигнализације за безбедност возача односно корисника путева.</w:t>
            </w:r>
          </w:p>
          <w:p w:rsidR="00B66BA5" w:rsidRDefault="00B66BA5" w:rsidP="00E175F3">
            <w:pPr>
              <w:pStyle w:val="PlainText"/>
              <w:rPr>
                <w:rFonts w:ascii="Times New Roman" w:hAnsi="Times New Roman" w:cs="Times New Roman"/>
                <w:sz w:val="24"/>
                <w:szCs w:val="24"/>
                <w:lang w:val="sr-Cyrl-RS"/>
              </w:rPr>
            </w:pPr>
          </w:p>
          <w:p w:rsidR="00B66BA5"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Сва ова испитивања су као обавезна прописана:</w:t>
            </w:r>
          </w:p>
          <w:p w:rsidR="00B66BA5"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Правилником о саобраћајној сигнализацији </w:t>
            </w:r>
            <w:r w:rsidRPr="005D705F">
              <w:rPr>
                <w:rFonts w:ascii="Times New Roman" w:hAnsi="Times New Roman" w:cs="Times New Roman"/>
                <w:sz w:val="24"/>
                <w:szCs w:val="24"/>
                <w:lang w:val="sr-Cyrl-RS"/>
              </w:rPr>
              <w:t>("</w:t>
            </w:r>
            <w:r>
              <w:rPr>
                <w:rFonts w:ascii="Times New Roman" w:hAnsi="Times New Roman" w:cs="Times New Roman"/>
                <w:sz w:val="24"/>
                <w:szCs w:val="24"/>
                <w:lang w:val="sr-Cyrl-RS"/>
              </w:rPr>
              <w:t>Сл</w:t>
            </w:r>
            <w:r w:rsidRPr="005D705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гл</w:t>
            </w:r>
            <w:r w:rsidRPr="005D705F">
              <w:rPr>
                <w:rFonts w:ascii="Times New Roman" w:hAnsi="Times New Roman" w:cs="Times New Roman"/>
                <w:sz w:val="24"/>
                <w:szCs w:val="24"/>
                <w:lang w:val="sr-Cyrl-RS"/>
              </w:rPr>
              <w:t>а</w:t>
            </w:r>
            <w:r>
              <w:rPr>
                <w:rFonts w:ascii="Times New Roman" w:hAnsi="Times New Roman" w:cs="Times New Roman"/>
                <w:sz w:val="24"/>
                <w:szCs w:val="24"/>
                <w:lang w:val="sr-Cyrl-RS"/>
              </w:rPr>
              <w:t>сник</w:t>
            </w:r>
            <w:r w:rsidRPr="005D705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РС</w:t>
            </w:r>
            <w:r w:rsidRPr="005D705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бр</w:t>
            </w:r>
            <w:r w:rsidRPr="005D705F">
              <w:rPr>
                <w:rFonts w:ascii="Times New Roman" w:hAnsi="Times New Roman" w:cs="Times New Roman"/>
                <w:sz w:val="24"/>
                <w:szCs w:val="24"/>
                <w:lang w:val="sr-Cyrl-RS"/>
              </w:rPr>
              <w:t>. 134/2014)</w:t>
            </w:r>
            <w:r>
              <w:rPr>
                <w:rFonts w:ascii="Times New Roman" w:hAnsi="Times New Roman" w:cs="Times New Roman"/>
                <w:sz w:val="24"/>
                <w:szCs w:val="24"/>
                <w:lang w:val="sr-Cyrl-RS"/>
              </w:rPr>
              <w:t>,</w:t>
            </w:r>
          </w:p>
          <w:p w:rsidR="00B66BA5" w:rsidRPr="00C474C9" w:rsidRDefault="00B66BA5" w:rsidP="00B66BA5">
            <w:pPr>
              <w:pStyle w:val="PlainText"/>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C43F26">
              <w:rPr>
                <w:rFonts w:ascii="Times New Roman" w:hAnsi="Times New Roman" w:cs="Times New Roman"/>
                <w:sz w:val="24"/>
                <w:szCs w:val="24"/>
                <w:lang w:val="sr-Cyrl-RS"/>
              </w:rPr>
              <w:t>КК – План Контроле Квалитета, Пројекат</w:t>
            </w:r>
            <w:r>
              <w:rPr>
                <w:rFonts w:ascii="Times New Roman" w:hAnsi="Times New Roman" w:cs="Times New Roman"/>
                <w:sz w:val="24"/>
                <w:szCs w:val="24"/>
                <w:lang w:val="sr-Cyrl-RS"/>
              </w:rPr>
              <w:t xml:space="preserve"> рехабилитације путева и безбедности –</w:t>
            </w:r>
            <w:r w:rsidRPr="00C43F26">
              <w:rPr>
                <w:rFonts w:ascii="Times New Roman" w:hAnsi="Times New Roman" w:cs="Times New Roman"/>
                <w:sz w:val="24"/>
                <w:szCs w:val="24"/>
                <w:lang w:val="sr-Cyrl-RS"/>
              </w:rPr>
              <w:t xml:space="preserve"> РРСП</w:t>
            </w:r>
            <w:r>
              <w:rPr>
                <w:rFonts w:ascii="Times New Roman" w:hAnsi="Times New Roman" w:cs="Times New Roman"/>
                <w:sz w:val="24"/>
                <w:szCs w:val="24"/>
                <w:lang w:val="sr-Cyrl-RS"/>
              </w:rPr>
              <w:t>,</w:t>
            </w:r>
            <w:r w:rsidRPr="00C43F26">
              <w:rPr>
                <w:rFonts w:ascii="Times New Roman" w:hAnsi="Times New Roman" w:cs="Times New Roman"/>
                <w:sz w:val="24"/>
                <w:szCs w:val="24"/>
                <w:lang w:val="sr-Cyrl-RS"/>
              </w:rPr>
              <w:t xml:space="preserve"> финансиран од стране Светске Банке, Европске Инвестиционе Банке и Европске Банке за обнову и развој,</w:t>
            </w:r>
            <w:r>
              <w:rPr>
                <w:rFonts w:ascii="Times New Roman" w:hAnsi="Times New Roman" w:cs="Times New Roman"/>
                <w:sz w:val="24"/>
                <w:szCs w:val="24"/>
                <w:lang w:val="sr-Cyrl-RS"/>
              </w:rPr>
              <w:t xml:space="preserve"> ЈП Путеви Србије, 2017. Година,</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b/>
                <w:bCs/>
                <w:sz w:val="24"/>
                <w:szCs w:val="24"/>
                <w:lang w:val="sr-Cyrl-RS"/>
              </w:rPr>
            </w:pPr>
            <w:r w:rsidRPr="00583D39">
              <w:rPr>
                <w:rFonts w:ascii="Times New Roman" w:hAnsi="Times New Roman" w:cs="Times New Roman"/>
                <w:b/>
                <w:bCs/>
                <w:sz w:val="24"/>
                <w:szCs w:val="24"/>
                <w:lang w:val="sr-Cyrl-RS"/>
              </w:rPr>
              <w:lastRenderedPageBreak/>
              <w:t>Узорковање</w:t>
            </w:r>
          </w:p>
        </w:tc>
        <w:tc>
          <w:tcPr>
            <w:tcW w:w="5812" w:type="dxa"/>
          </w:tcPr>
          <w:p w:rsidR="00B66BA5" w:rsidRPr="00583D39" w:rsidRDefault="00B66BA5" w:rsidP="00E175F3">
            <w:pPr>
              <w:pStyle w:val="PlainText"/>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Образложење:</w:t>
            </w:r>
          </w:p>
        </w:tc>
      </w:tr>
      <w:tr w:rsidR="00B66BA5" w:rsidRPr="00583D39" w:rsidTr="00E175F3">
        <w:tc>
          <w:tcPr>
            <w:tcW w:w="3544" w:type="dxa"/>
            <w:tcMar>
              <w:top w:w="57" w:type="dxa"/>
              <w:left w:w="57" w:type="dxa"/>
              <w:bottom w:w="57" w:type="dxa"/>
              <w:right w:w="57" w:type="dxa"/>
            </w:tcMar>
            <w:vAlign w:val="center"/>
            <w:hideMark/>
          </w:tcPr>
          <w:p w:rsidR="00B66BA5" w:rsidRPr="00583D39" w:rsidRDefault="00B66BA5" w:rsidP="00E175F3">
            <w:pPr>
              <w:pStyle w:val="PlainText"/>
              <w:rPr>
                <w:rFonts w:ascii="Times New Roman" w:hAnsi="Times New Roman" w:cs="Times New Roman"/>
                <w:sz w:val="24"/>
                <w:szCs w:val="24"/>
                <w:lang w:val="sr-Cyrl-RS"/>
              </w:rPr>
            </w:pPr>
            <w:r w:rsidRPr="00583D39">
              <w:rPr>
                <w:rFonts w:ascii="Times New Roman" w:hAnsi="Times New Roman" w:cs="Times New Roman"/>
                <w:sz w:val="24"/>
                <w:szCs w:val="24"/>
                <w:lang w:val="sr-Cyrl-RS"/>
              </w:rPr>
              <w:t xml:space="preserve">79) Битумен - Узимање узорака за физичко-хемијска и механичка испитивања према СРПС Б.Х8.610, </w:t>
            </w:r>
          </w:p>
        </w:tc>
        <w:tc>
          <w:tcPr>
            <w:tcW w:w="5812" w:type="dxa"/>
          </w:tcPr>
          <w:p w:rsidR="00B66BA5" w:rsidRPr="00583D39" w:rsidRDefault="00B66BA5" w:rsidP="00E175F3">
            <w:pPr>
              <w:pStyle w:val="PlainText"/>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новим сетовима ЕН стандарда као и у међународно примењиваним системима контроле квалитета већ дуги низ година се акценат ставља на важност стандардне процедуре узорковања свих врста материјала, односно истиче се да је узорковање једно од кључних операција током спровођења контроле квалитета. </w:t>
            </w:r>
          </w:p>
        </w:tc>
      </w:tr>
    </w:tbl>
    <w:p w:rsidR="00B66BA5" w:rsidRPr="00583D39" w:rsidRDefault="00B66BA5" w:rsidP="00B66BA5">
      <w:pPr>
        <w:pStyle w:val="PlainText"/>
        <w:jc w:val="both"/>
        <w:rPr>
          <w:rFonts w:ascii="Times New Roman" w:hAnsi="Times New Roman" w:cs="Times New Roman"/>
          <w:sz w:val="24"/>
          <w:szCs w:val="24"/>
          <w:lang w:val="sr-Cyrl-RS"/>
        </w:rPr>
      </w:pPr>
    </w:p>
    <w:p w:rsidR="002D2817" w:rsidRDefault="002D2817" w:rsidP="002D2817">
      <w:pPr>
        <w:spacing w:after="0" w:line="258" w:lineRule="auto"/>
        <w:ind w:left="14"/>
        <w:rPr>
          <w:rFonts w:ascii="Times New Roman" w:eastAsia="Times New Roman" w:hAnsi="Times New Roman" w:cs="Times New Roman"/>
          <w:color w:val="000000"/>
          <w:sz w:val="26"/>
        </w:rPr>
      </w:pPr>
    </w:p>
    <w:p w:rsidR="002D2817" w:rsidRDefault="002D2817" w:rsidP="002D2817">
      <w:pPr>
        <w:spacing w:after="0" w:line="258" w:lineRule="auto"/>
        <w:ind w:left="14"/>
        <w:rPr>
          <w:rFonts w:ascii="Times New Roman" w:eastAsia="Times New Roman" w:hAnsi="Times New Roman" w:cs="Times New Roman"/>
          <w:b/>
          <w:color w:val="000000"/>
          <w:sz w:val="26"/>
        </w:rPr>
      </w:pPr>
      <w:r w:rsidRPr="002D2817">
        <w:rPr>
          <w:rFonts w:ascii="Times New Roman" w:eastAsia="Times New Roman" w:hAnsi="Times New Roman" w:cs="Times New Roman"/>
          <w:b/>
          <w:color w:val="000000"/>
          <w:sz w:val="26"/>
        </w:rPr>
        <w:t xml:space="preserve">ПИТАЊЕ </w:t>
      </w:r>
      <w:r>
        <w:rPr>
          <w:rFonts w:ascii="Times New Roman" w:eastAsia="Times New Roman" w:hAnsi="Times New Roman" w:cs="Times New Roman"/>
          <w:b/>
          <w:color w:val="000000"/>
          <w:sz w:val="26"/>
        </w:rPr>
        <w:t>3</w:t>
      </w:r>
    </w:p>
    <w:p w:rsidR="002D2817" w:rsidRPr="002D2817" w:rsidRDefault="002D2817" w:rsidP="002D2817">
      <w:pPr>
        <w:spacing w:after="0" w:line="258" w:lineRule="auto"/>
        <w:ind w:left="14"/>
        <w:rPr>
          <w:rFonts w:ascii="Times New Roman" w:eastAsia="Times New Roman" w:hAnsi="Times New Roman" w:cs="Times New Roman"/>
          <w:b/>
          <w:color w:val="000000"/>
          <w:sz w:val="24"/>
        </w:rPr>
      </w:pP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Ради јаснијег и прецизнијег одређења предмета Уговора, потребно је изменити члан 2. Модела Уговора</w:t>
      </w:r>
    </w:p>
    <w:p w:rsidR="00B66BA5" w:rsidRDefault="00B66BA5" w:rsidP="002D2817">
      <w:pPr>
        <w:spacing w:after="0" w:line="267" w:lineRule="auto"/>
        <w:ind w:left="14" w:right="4" w:firstLine="9"/>
        <w:jc w:val="both"/>
        <w:rPr>
          <w:rFonts w:ascii="Times New Roman" w:eastAsia="Times New Roman" w:hAnsi="Times New Roman" w:cs="Times New Roman"/>
          <w:color w:val="000000"/>
          <w:sz w:val="24"/>
        </w:rPr>
      </w:pPr>
    </w:p>
    <w:p w:rsid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који гласи:</w:t>
      </w:r>
    </w:p>
    <w:p w:rsidR="002D2817" w:rsidRPr="002D2817" w:rsidRDefault="002D2817" w:rsidP="002D2817">
      <w:pPr>
        <w:spacing w:after="0" w:line="267" w:lineRule="auto"/>
        <w:ind w:left="14" w:right="4" w:firstLine="9"/>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Члан 2.</w:t>
      </w:r>
    </w:p>
    <w:p w:rsidR="002D2817" w:rsidRPr="002D2817" w:rsidRDefault="001734C1" w:rsidP="002D2817">
      <w:pPr>
        <w:spacing w:after="0" w:line="267" w:lineRule="auto"/>
        <w:ind w:left="14" w:right="4" w:firstLine="69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w:t>
      </w:r>
      <w:r w:rsidR="002D2817" w:rsidRPr="002D2817">
        <w:rPr>
          <w:rFonts w:ascii="Times New Roman" w:eastAsia="Times New Roman" w:hAnsi="Times New Roman" w:cs="Times New Roman"/>
          <w:color w:val="000000"/>
          <w:sz w:val="24"/>
        </w:rPr>
        <w:t>мет уговора је пружање Услуга ст</w:t>
      </w:r>
      <w:r>
        <w:rPr>
          <w:rFonts w:ascii="Times New Roman" w:eastAsia="Times New Roman" w:hAnsi="Times New Roman" w:cs="Times New Roman"/>
          <w:color w:val="000000"/>
          <w:sz w:val="24"/>
        </w:rPr>
        <w:t>ручног надзора над извођењем радова на изград</w:t>
      </w:r>
      <w:r w:rsidR="002D2817" w:rsidRPr="002D2817">
        <w:rPr>
          <w:rFonts w:ascii="Times New Roman" w:eastAsia="Times New Roman" w:hAnsi="Times New Roman" w:cs="Times New Roman"/>
          <w:color w:val="000000"/>
          <w:sz w:val="24"/>
        </w:rPr>
        <w:t>њи саобрађшјнице Рума - Шабац — Лозница у реализаци</w:t>
      </w:r>
      <w:r>
        <w:rPr>
          <w:rFonts w:ascii="Times New Roman" w:eastAsia="Times New Roman" w:hAnsi="Times New Roman" w:cs="Times New Roman"/>
          <w:color w:val="000000"/>
          <w:sz w:val="24"/>
        </w:rPr>
        <w:t>ји Комерцијалног уговора у складу са Пројектним зад</w:t>
      </w:r>
      <w:r w:rsidR="002D2817" w:rsidRPr="002D2817">
        <w:rPr>
          <w:rFonts w:ascii="Times New Roman" w:eastAsia="Times New Roman" w:hAnsi="Times New Roman" w:cs="Times New Roman"/>
          <w:color w:val="000000"/>
          <w:sz w:val="24"/>
        </w:rPr>
        <w:t>атком, условима уговора, прописима и законом.</w:t>
      </w:r>
    </w:p>
    <w:p w:rsidR="001734C1" w:rsidRDefault="001734C1" w:rsidP="002D2817">
      <w:pPr>
        <w:spacing w:after="0" w:line="267" w:lineRule="auto"/>
        <w:ind w:left="14" w:right="4" w:firstLine="9"/>
        <w:jc w:val="both"/>
        <w:rPr>
          <w:rFonts w:ascii="Times New Roman" w:eastAsia="Times New Roman" w:hAnsi="Times New Roman" w:cs="Times New Roman"/>
          <w:color w:val="000000"/>
          <w:sz w:val="24"/>
        </w:rPr>
      </w:pP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Измена наведеног члана је потребна да би се нагласило да ...пружање Услуга стручног на</w:t>
      </w:r>
      <w:r w:rsidR="001734C1">
        <w:rPr>
          <w:rFonts w:ascii="Times New Roman" w:eastAsia="Times New Roman" w:hAnsi="Times New Roman" w:cs="Times New Roman"/>
          <w:color w:val="000000"/>
          <w:sz w:val="24"/>
          <w:lang w:val="sr-Cyrl-CS"/>
        </w:rPr>
        <w:t>д</w:t>
      </w:r>
      <w:r w:rsidRPr="002D2817">
        <w:rPr>
          <w:rFonts w:ascii="Times New Roman" w:eastAsia="Times New Roman" w:hAnsi="Times New Roman" w:cs="Times New Roman"/>
          <w:color w:val="000000"/>
          <w:sz w:val="24"/>
        </w:rPr>
        <w:t>зора...не обухвата само услугу стручног надзора над извођењем радова (стручни надзор у основном, ужем смислу), већ и многе друге услуге које ће Пружалац услуге континуирано и у знатном обиму обављати током извршења Уговора о вршењу стручног надзора. На страни 9 КД, у другом пасусу наведено је</w:t>
      </w:r>
      <w:r w:rsidR="001734C1">
        <w:rPr>
          <w:rFonts w:ascii="Times New Roman" w:eastAsia="Times New Roman" w:hAnsi="Times New Roman" w:cs="Times New Roman"/>
          <w:color w:val="000000"/>
          <w:sz w:val="24"/>
        </w:rPr>
        <w:t xml:space="preserve"> да: „услуга Стручног надзора”</w:t>
      </w:r>
      <w:r w:rsidR="001734C1">
        <w:rPr>
          <w:rFonts w:ascii="Times New Roman" w:eastAsia="Times New Roman" w:hAnsi="Times New Roman" w:cs="Times New Roman"/>
          <w:color w:val="000000"/>
          <w:sz w:val="24"/>
          <w:lang w:val="sr-Cyrl-CS"/>
        </w:rPr>
        <w:t xml:space="preserve"> </w:t>
      </w:r>
      <w:r w:rsidR="001734C1">
        <w:rPr>
          <w:rFonts w:ascii="Times New Roman" w:eastAsia="Times New Roman" w:hAnsi="Times New Roman" w:cs="Times New Roman"/>
          <w:color w:val="000000"/>
          <w:sz w:val="24"/>
        </w:rPr>
        <w:t>обухвата све обавезе и зад</w:t>
      </w:r>
      <w:r w:rsidRPr="002D2817">
        <w:rPr>
          <w:rFonts w:ascii="Times New Roman" w:eastAsia="Times New Roman" w:hAnsi="Times New Roman" w:cs="Times New Roman"/>
          <w:color w:val="000000"/>
          <w:sz w:val="24"/>
        </w:rPr>
        <w:t>ужењ</w:t>
      </w:r>
      <w:r w:rsidR="001734C1">
        <w:rPr>
          <w:rFonts w:ascii="Times New Roman" w:eastAsia="Times New Roman" w:hAnsi="Times New Roman" w:cs="Times New Roman"/>
          <w:color w:val="000000"/>
          <w:sz w:val="24"/>
        </w:rPr>
        <w:t>а Дефинисана ОВИМ Пројектним зад</w:t>
      </w:r>
      <w:r w:rsidRPr="002D2817">
        <w:rPr>
          <w:rFonts w:ascii="Times New Roman" w:eastAsia="Times New Roman" w:hAnsi="Times New Roman" w:cs="Times New Roman"/>
          <w:color w:val="000000"/>
          <w:sz w:val="24"/>
        </w:rPr>
        <w:t>атком и конкурсном Документацијом, али је корисно из практичних разлога да то буде назначено и у Моделу Уговора.</w:t>
      </w:r>
    </w:p>
    <w:p w:rsidR="002D2817" w:rsidRDefault="002D2817" w:rsidP="002D2817">
      <w:pPr>
        <w:spacing w:after="0" w:line="267" w:lineRule="auto"/>
        <w:ind w:left="14" w:right="4" w:firstLine="9"/>
        <w:jc w:val="both"/>
        <w:rPr>
          <w:rFonts w:ascii="Times New Roman" w:eastAsia="Times New Roman" w:hAnsi="Times New Roman" w:cs="Times New Roman"/>
          <w:color w:val="000000"/>
          <w:sz w:val="24"/>
        </w:rPr>
      </w:pPr>
    </w:p>
    <w:p w:rsid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ПРЕДЛОГ:</w:t>
      </w: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lastRenderedPageBreak/>
        <w:t>Подносилац Захтева предлаже следећи текст:</w:t>
      </w:r>
    </w:p>
    <w:p w:rsidR="002D2817" w:rsidRPr="002D2817" w:rsidRDefault="002D2817" w:rsidP="002D2817">
      <w:pPr>
        <w:spacing w:after="0"/>
        <w:ind w:left="720" w:right="710" w:hanging="10"/>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Члан 2.</w:t>
      </w:r>
    </w:p>
    <w:p w:rsidR="002D2817" w:rsidRPr="002D2817" w:rsidRDefault="001734C1" w:rsidP="002D2817">
      <w:pPr>
        <w:spacing w:after="0" w:line="267" w:lineRule="auto"/>
        <w:ind w:left="14" w:right="4"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w:t>
      </w:r>
      <w:r w:rsidR="002D2817" w:rsidRPr="002D2817">
        <w:rPr>
          <w:rFonts w:ascii="Times New Roman" w:eastAsia="Times New Roman" w:hAnsi="Times New Roman" w:cs="Times New Roman"/>
          <w:color w:val="000000"/>
          <w:sz w:val="24"/>
        </w:rPr>
        <w:t>мет уговора је пружање услуга ст</w:t>
      </w:r>
      <w:r>
        <w:rPr>
          <w:rFonts w:ascii="Times New Roman" w:eastAsia="Times New Roman" w:hAnsi="Times New Roman" w:cs="Times New Roman"/>
          <w:color w:val="000000"/>
          <w:sz w:val="24"/>
        </w:rPr>
        <w:t>ручног надзора над извођењем радова на изград</w:t>
      </w:r>
      <w:r w:rsidR="002D2817" w:rsidRPr="002D2817">
        <w:rPr>
          <w:rFonts w:ascii="Times New Roman" w:eastAsia="Times New Roman" w:hAnsi="Times New Roman" w:cs="Times New Roman"/>
          <w:color w:val="000000"/>
          <w:sz w:val="24"/>
        </w:rPr>
        <w:t xml:space="preserve">њи саобрађшјнице Рума - Шабац - Лозница у реализацији Комерцијалног уговора, у </w:t>
      </w:r>
      <w:r>
        <w:rPr>
          <w:rFonts w:ascii="Times New Roman" w:eastAsia="Times New Roman" w:hAnsi="Times New Roman" w:cs="Times New Roman"/>
          <w:color w:val="000000"/>
          <w:sz w:val="24"/>
          <w:lang w:val="sr-Cyrl-CS"/>
        </w:rPr>
        <w:t xml:space="preserve">складу </w:t>
      </w:r>
      <w:r>
        <w:rPr>
          <w:rFonts w:ascii="Times New Roman" w:eastAsia="Times New Roman" w:hAnsi="Times New Roman" w:cs="Times New Roman"/>
          <w:color w:val="000000"/>
          <w:sz w:val="24"/>
        </w:rPr>
        <w:t>са Пројектним зад</w:t>
      </w:r>
      <w:r w:rsidR="002D2817" w:rsidRPr="002D2817">
        <w:rPr>
          <w:rFonts w:ascii="Times New Roman" w:eastAsia="Times New Roman" w:hAnsi="Times New Roman" w:cs="Times New Roman"/>
          <w:color w:val="000000"/>
          <w:sz w:val="24"/>
        </w:rPr>
        <w:t>атком, Конкурсном Документацијом (ЈН 27/2020), условима уговора, пропис</w:t>
      </w:r>
      <w:r>
        <w:rPr>
          <w:rFonts w:ascii="Times New Roman" w:eastAsia="Times New Roman" w:hAnsi="Times New Roman" w:cs="Times New Roman"/>
          <w:color w:val="000000"/>
          <w:sz w:val="24"/>
        </w:rPr>
        <w:t>има и законом, и усвојеном понудом Пружаоца услуге бр _______</w:t>
      </w:r>
      <w:r w:rsidR="002D2817" w:rsidRPr="002D2817">
        <w:rPr>
          <w:rFonts w:ascii="Times New Roman" w:eastAsia="Times New Roman" w:hAnsi="Times New Roman" w:cs="Times New Roman"/>
          <w:color w:val="000000"/>
          <w:sz w:val="24"/>
        </w:rPr>
        <w:t>. од</w:t>
      </w:r>
      <w:r>
        <w:rPr>
          <w:rFonts w:ascii="Times New Roman" w:eastAsia="Times New Roman" w:hAnsi="Times New Roman" w:cs="Times New Roman"/>
          <w:color w:val="000000"/>
          <w:sz w:val="24"/>
          <w:u w:val="single" w:color="000000"/>
        </w:rPr>
        <w:t xml:space="preserve"> _______</w:t>
      </w:r>
      <w:r w:rsidR="002D2817" w:rsidRPr="002D2817">
        <w:rPr>
          <w:rFonts w:ascii="Times New Roman" w:eastAsia="Times New Roman" w:hAnsi="Times New Roman" w:cs="Times New Roman"/>
          <w:color w:val="000000"/>
          <w:sz w:val="24"/>
        </w:rPr>
        <w:t>2020. године, која чини сатавни део овог уговора.</w:t>
      </w:r>
    </w:p>
    <w:p w:rsidR="002D2817" w:rsidRDefault="002D2817" w:rsidP="002D2817">
      <w:pPr>
        <w:spacing w:after="0" w:line="267" w:lineRule="auto"/>
        <w:ind w:left="677"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 xml:space="preserve">Предметна </w:t>
      </w:r>
      <w:r w:rsidR="001734C1">
        <w:rPr>
          <w:rFonts w:ascii="Times New Roman" w:eastAsia="Times New Roman" w:hAnsi="Times New Roman" w:cs="Times New Roman"/>
          <w:color w:val="000000"/>
          <w:sz w:val="24"/>
        </w:rPr>
        <w:t>услуга у основном обухвата следеће обавезе и зад</w:t>
      </w:r>
      <w:r w:rsidRPr="002D2817">
        <w:rPr>
          <w:rFonts w:ascii="Times New Roman" w:eastAsia="Times New Roman" w:hAnsi="Times New Roman" w:cs="Times New Roman"/>
          <w:color w:val="000000"/>
          <w:sz w:val="24"/>
        </w:rPr>
        <w:t>ужења:</w:t>
      </w:r>
    </w:p>
    <w:p w:rsidR="001734C1" w:rsidRPr="002D2817" w:rsidRDefault="001734C1" w:rsidP="002D2817">
      <w:pPr>
        <w:spacing w:after="0" w:line="267" w:lineRule="auto"/>
        <w:ind w:left="677" w:right="4" w:firstLine="9"/>
        <w:jc w:val="both"/>
        <w:rPr>
          <w:rFonts w:ascii="Times New Roman" w:eastAsia="Times New Roman" w:hAnsi="Times New Roman" w:cs="Times New Roman"/>
          <w:color w:val="000000"/>
          <w:sz w:val="24"/>
        </w:rPr>
      </w:pPr>
    </w:p>
    <w:p w:rsidR="001734C1" w:rsidRDefault="002D2817" w:rsidP="002D2817">
      <w:pPr>
        <w:numPr>
          <w:ilvl w:val="0"/>
          <w:numId w:val="9"/>
        </w:numPr>
        <w:spacing w:after="0" w:line="216" w:lineRule="auto"/>
        <w:ind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 xml:space="preserve">техничку контролу и верификацију пројектно-техничке Документације (Пројекат за грађевинску </w:t>
      </w:r>
      <w:r w:rsidR="001734C1">
        <w:rPr>
          <w:rFonts w:ascii="Times New Roman" w:eastAsia="Times New Roman" w:hAnsi="Times New Roman" w:cs="Times New Roman"/>
          <w:color w:val="000000"/>
          <w:sz w:val="24"/>
          <w:lang w:val="sr-Cyrl-CS"/>
        </w:rPr>
        <w:t xml:space="preserve">дозволу </w:t>
      </w:r>
      <w:r w:rsidRPr="002D2817">
        <w:rPr>
          <w:rFonts w:ascii="Times New Roman" w:eastAsia="Times New Roman" w:hAnsi="Times New Roman" w:cs="Times New Roman"/>
          <w:color w:val="000000"/>
          <w:sz w:val="24"/>
        </w:rPr>
        <w:t xml:space="preserve">за Деоницу 1 — аутопут Рума - Шабац — </w:t>
      </w:r>
      <w:r w:rsidR="001734C1">
        <w:rPr>
          <w:rFonts w:ascii="Times New Roman" w:eastAsia="Times New Roman" w:hAnsi="Times New Roman" w:cs="Times New Roman"/>
          <w:color w:val="000000"/>
          <w:sz w:val="24"/>
        </w:rPr>
        <w:t>и Деоницу З — брза саобраћајница</w:t>
      </w:r>
      <w:r w:rsidRPr="002D2817">
        <w:rPr>
          <w:rFonts w:ascii="Times New Roman" w:eastAsia="Times New Roman" w:hAnsi="Times New Roman" w:cs="Times New Roman"/>
          <w:color w:val="000000"/>
          <w:sz w:val="24"/>
        </w:rPr>
        <w:t xml:space="preserve"> Шабац - Лозница </w:t>
      </w:r>
      <w:r w:rsidRPr="002D2817">
        <w:rPr>
          <w:rFonts w:ascii="Times New Roman" w:eastAsia="Times New Roman" w:hAnsi="Times New Roman" w:cs="Times New Roman"/>
          <w:noProof/>
          <w:color w:val="000000"/>
          <w:sz w:val="24"/>
        </w:rPr>
        <w:drawing>
          <wp:inline distT="0" distB="0" distL="0" distR="0" wp14:anchorId="1BA85A3D" wp14:editId="249AA7C2">
            <wp:extent cx="79254" cy="9144"/>
            <wp:effectExtent l="0" t="0" r="0" b="0"/>
            <wp:docPr id="18992" name="Picture 18992"/>
            <wp:cNvGraphicFramePr/>
            <a:graphic xmlns:a="http://schemas.openxmlformats.org/drawingml/2006/main">
              <a:graphicData uri="http://schemas.openxmlformats.org/drawingml/2006/picture">
                <pic:pic xmlns:pic="http://schemas.openxmlformats.org/drawingml/2006/picture">
                  <pic:nvPicPr>
                    <pic:cNvPr id="18992" name="Picture 18992"/>
                    <pic:cNvPicPr/>
                  </pic:nvPicPr>
                  <pic:blipFill>
                    <a:blip r:embed="rId14"/>
                    <a:stretch>
                      <a:fillRect/>
                    </a:stretch>
                  </pic:blipFill>
                  <pic:spPr>
                    <a:xfrm>
                      <a:off x="0" y="0"/>
                      <a:ext cx="79254" cy="9144"/>
                    </a:xfrm>
                    <a:prstGeom prst="rect">
                      <a:avLst/>
                    </a:prstGeom>
                  </pic:spPr>
                </pic:pic>
              </a:graphicData>
            </a:graphic>
          </wp:inline>
        </w:drawing>
      </w:r>
      <w:r w:rsidRPr="002D2817">
        <w:rPr>
          <w:rFonts w:ascii="Times New Roman" w:eastAsia="Times New Roman" w:hAnsi="Times New Roman" w:cs="Times New Roman"/>
          <w:color w:val="000000"/>
          <w:sz w:val="24"/>
        </w:rPr>
        <w:t>Проје</w:t>
      </w:r>
      <w:r w:rsidR="001734C1">
        <w:rPr>
          <w:rFonts w:ascii="Times New Roman" w:eastAsia="Times New Roman" w:hAnsi="Times New Roman" w:cs="Times New Roman"/>
          <w:color w:val="000000"/>
          <w:sz w:val="24"/>
        </w:rPr>
        <w:t>кат за извођење и Пројекат извед</w:t>
      </w:r>
      <w:r w:rsidRPr="002D2817">
        <w:rPr>
          <w:rFonts w:ascii="Times New Roman" w:eastAsia="Times New Roman" w:hAnsi="Times New Roman" w:cs="Times New Roman"/>
          <w:color w:val="000000"/>
          <w:sz w:val="24"/>
        </w:rPr>
        <w:t>еног објекта за све три Деонице — аутопут Рума - Шабац, мост преко реке Саве и саобра</w:t>
      </w:r>
      <w:r w:rsidR="001734C1">
        <w:rPr>
          <w:rFonts w:ascii="Times New Roman" w:eastAsia="Times New Roman" w:hAnsi="Times New Roman" w:cs="Times New Roman"/>
          <w:color w:val="000000"/>
          <w:sz w:val="24"/>
          <w:lang w:val="sr-Cyrl-CS"/>
        </w:rPr>
        <w:t>ћајница</w:t>
      </w:r>
      <w:r w:rsidRPr="002D2817">
        <w:rPr>
          <w:rFonts w:ascii="Times New Roman" w:eastAsia="Times New Roman" w:hAnsi="Times New Roman" w:cs="Times New Roman"/>
          <w:color w:val="000000"/>
          <w:sz w:val="24"/>
        </w:rPr>
        <w:t xml:space="preserve"> Шабац -Лозница, </w:t>
      </w:r>
    </w:p>
    <w:p w:rsidR="002D2817" w:rsidRPr="002D2817" w:rsidRDefault="002D2817" w:rsidP="002D2817">
      <w:pPr>
        <w:numPr>
          <w:ilvl w:val="0"/>
          <w:numId w:val="9"/>
        </w:numPr>
        <w:spacing w:after="0" w:line="216" w:lineRule="auto"/>
        <w:ind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вршење ст</w:t>
      </w:r>
      <w:r w:rsidR="001734C1">
        <w:rPr>
          <w:rFonts w:ascii="Times New Roman" w:eastAsia="Times New Roman" w:hAnsi="Times New Roman" w:cs="Times New Roman"/>
          <w:color w:val="000000"/>
          <w:sz w:val="24"/>
        </w:rPr>
        <w:t>ручног надзора над извођењем рад</w:t>
      </w:r>
      <w:r w:rsidRPr="002D2817">
        <w:rPr>
          <w:rFonts w:ascii="Times New Roman" w:eastAsia="Times New Roman" w:hAnsi="Times New Roman" w:cs="Times New Roman"/>
          <w:color w:val="000000"/>
          <w:sz w:val="24"/>
        </w:rPr>
        <w:t>ова,</w:t>
      </w:r>
    </w:p>
    <w:p w:rsidR="002D2817" w:rsidRPr="00B66BA5" w:rsidRDefault="002D2817" w:rsidP="002D2817">
      <w:pPr>
        <w:numPr>
          <w:ilvl w:val="0"/>
          <w:numId w:val="9"/>
        </w:numPr>
        <w:spacing w:after="0" w:line="258" w:lineRule="auto"/>
        <w:ind w:right="4" w:firstLine="9"/>
        <w:jc w:val="both"/>
        <w:rPr>
          <w:rFonts w:ascii="Times New Roman" w:eastAsia="Times New Roman" w:hAnsi="Times New Roman" w:cs="Times New Roman"/>
          <w:color w:val="000000"/>
          <w:sz w:val="24"/>
          <w:szCs w:val="24"/>
        </w:rPr>
      </w:pPr>
      <w:r w:rsidRPr="00B66BA5">
        <w:rPr>
          <w:rFonts w:ascii="Times New Roman" w:eastAsia="Times New Roman" w:hAnsi="Times New Roman" w:cs="Times New Roman"/>
          <w:color w:val="000000"/>
          <w:sz w:val="24"/>
          <w:szCs w:val="24"/>
        </w:rPr>
        <w:t>у</w:t>
      </w:r>
      <w:r w:rsidR="001734C1" w:rsidRPr="00B66BA5">
        <w:rPr>
          <w:rFonts w:ascii="Times New Roman" w:eastAsia="Times New Roman" w:hAnsi="Times New Roman" w:cs="Times New Roman"/>
          <w:color w:val="000000"/>
          <w:sz w:val="24"/>
          <w:szCs w:val="24"/>
        </w:rPr>
        <w:t>чешђе у раду Комисије за преглед</w:t>
      </w:r>
      <w:r w:rsidRPr="00B66BA5">
        <w:rPr>
          <w:rFonts w:ascii="Times New Roman" w:eastAsia="Times New Roman" w:hAnsi="Times New Roman" w:cs="Times New Roman"/>
          <w:color w:val="000000"/>
          <w:sz w:val="24"/>
          <w:szCs w:val="24"/>
        </w:rPr>
        <w:t xml:space="preserve"> објеката, и</w:t>
      </w:r>
    </w:p>
    <w:p w:rsidR="002D2817" w:rsidRPr="002D2817" w:rsidRDefault="002D2817" w:rsidP="002D2817">
      <w:pPr>
        <w:numPr>
          <w:ilvl w:val="0"/>
          <w:numId w:val="9"/>
        </w:numPr>
        <w:spacing w:after="0" w:line="267" w:lineRule="auto"/>
        <w:ind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 xml:space="preserve">спровођење свих </w:t>
      </w:r>
      <w:r w:rsidR="001734C1">
        <w:rPr>
          <w:rFonts w:ascii="Times New Roman" w:eastAsia="Times New Roman" w:hAnsi="Times New Roman" w:cs="Times New Roman"/>
          <w:color w:val="000000"/>
          <w:sz w:val="24"/>
        </w:rPr>
        <w:t>активности на прегледу, примопредаји и изради коначног обрачуна изведених рад</w:t>
      </w:r>
      <w:r w:rsidRPr="002D2817">
        <w:rPr>
          <w:rFonts w:ascii="Times New Roman" w:eastAsia="Times New Roman" w:hAnsi="Times New Roman" w:cs="Times New Roman"/>
          <w:color w:val="000000"/>
          <w:sz w:val="24"/>
        </w:rPr>
        <w:t>ова, контролу и верификацију инвестиционо-техничке Документације потр</w:t>
      </w:r>
      <w:r w:rsidR="001734C1">
        <w:rPr>
          <w:rFonts w:ascii="Times New Roman" w:eastAsia="Times New Roman" w:hAnsi="Times New Roman" w:cs="Times New Roman"/>
          <w:color w:val="000000"/>
          <w:sz w:val="24"/>
        </w:rPr>
        <w:t>ебне за вршење Техничког прегледа објекта и изд</w:t>
      </w:r>
      <w:r w:rsidRPr="002D2817">
        <w:rPr>
          <w:rFonts w:ascii="Times New Roman" w:eastAsia="Times New Roman" w:hAnsi="Times New Roman" w:cs="Times New Roman"/>
          <w:color w:val="000000"/>
          <w:sz w:val="24"/>
        </w:rPr>
        <w:t>авање употребне Дозволе,</w:t>
      </w:r>
    </w:p>
    <w:p w:rsidR="002D2817" w:rsidRDefault="002D2817" w:rsidP="002D2817">
      <w:pPr>
        <w:numPr>
          <w:ilvl w:val="0"/>
          <w:numId w:val="9"/>
        </w:numPr>
        <w:spacing w:after="0" w:line="267" w:lineRule="auto"/>
        <w:ind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ефикасно управљање уговором, мониторинг и</w:t>
      </w:r>
      <w:r w:rsidR="001734C1">
        <w:rPr>
          <w:rFonts w:ascii="Times New Roman" w:eastAsia="Times New Roman" w:hAnsi="Times New Roman" w:cs="Times New Roman"/>
          <w:color w:val="000000"/>
          <w:sz w:val="24"/>
        </w:rPr>
        <w:t xml:space="preserve"> умањење утицаја на животну средину током извођења рад</w:t>
      </w:r>
      <w:r w:rsidRPr="002D2817">
        <w:rPr>
          <w:rFonts w:ascii="Times New Roman" w:eastAsia="Times New Roman" w:hAnsi="Times New Roman" w:cs="Times New Roman"/>
          <w:color w:val="000000"/>
          <w:sz w:val="24"/>
        </w:rPr>
        <w:t>ова, и проверу и мониторинг примењ</w:t>
      </w:r>
      <w:r w:rsidR="001734C1">
        <w:rPr>
          <w:rFonts w:ascii="Times New Roman" w:eastAsia="Times New Roman" w:hAnsi="Times New Roman" w:cs="Times New Roman"/>
          <w:color w:val="000000"/>
          <w:sz w:val="24"/>
        </w:rPr>
        <w:t xml:space="preserve">ених мера безбедности caобраћаја и безбедности на раду у </w:t>
      </w:r>
      <w:r w:rsidR="001734C1">
        <w:rPr>
          <w:rFonts w:ascii="Times New Roman" w:eastAsia="Times New Roman" w:hAnsi="Times New Roman" w:cs="Times New Roman"/>
          <w:color w:val="000000"/>
          <w:sz w:val="24"/>
          <w:lang w:val="sr-Cyrl-CS"/>
        </w:rPr>
        <w:t xml:space="preserve">свим </w:t>
      </w:r>
      <w:r w:rsidRPr="002D2817">
        <w:rPr>
          <w:rFonts w:ascii="Times New Roman" w:eastAsia="Times New Roman" w:hAnsi="Times New Roman" w:cs="Times New Roman"/>
          <w:color w:val="000000"/>
          <w:sz w:val="24"/>
        </w:rPr>
        <w:t>фазама имплементације Комерцијалног уговора.</w:t>
      </w:r>
    </w:p>
    <w:p w:rsidR="002D2817" w:rsidRDefault="002D2817" w:rsidP="002D2817">
      <w:pPr>
        <w:spacing w:after="0" w:line="267" w:lineRule="auto"/>
        <w:ind w:left="23" w:right="4"/>
        <w:jc w:val="both"/>
        <w:rPr>
          <w:rFonts w:ascii="Times New Roman" w:eastAsia="Times New Roman" w:hAnsi="Times New Roman" w:cs="Times New Roman"/>
          <w:color w:val="000000"/>
          <w:sz w:val="24"/>
        </w:rPr>
      </w:pPr>
    </w:p>
    <w:p w:rsidR="002D2817" w:rsidRPr="00B66BA5" w:rsidRDefault="002D2817" w:rsidP="002D2817">
      <w:pPr>
        <w:spacing w:after="0" w:line="267" w:lineRule="auto"/>
        <w:ind w:left="23" w:right="4"/>
        <w:jc w:val="both"/>
        <w:rPr>
          <w:rFonts w:ascii="Times New Roman" w:eastAsia="Times New Roman" w:hAnsi="Times New Roman" w:cs="Times New Roman"/>
          <w:b/>
          <w:sz w:val="24"/>
          <w:lang w:val="sr-Cyrl-CS"/>
        </w:rPr>
      </w:pPr>
      <w:r w:rsidRPr="00B66BA5">
        <w:rPr>
          <w:rFonts w:ascii="Times New Roman" w:eastAsia="Times New Roman" w:hAnsi="Times New Roman" w:cs="Times New Roman"/>
          <w:b/>
          <w:sz w:val="24"/>
          <w:lang w:val="sr-Cyrl-CS"/>
        </w:rPr>
        <w:t>ОДГОВОР</w:t>
      </w:r>
    </w:p>
    <w:p w:rsidR="00B66BA5" w:rsidRPr="002D2817" w:rsidRDefault="00B66BA5" w:rsidP="002D2817">
      <w:pPr>
        <w:spacing w:after="0" w:line="267" w:lineRule="auto"/>
        <w:ind w:left="23" w:right="4"/>
        <w:jc w:val="both"/>
        <w:rPr>
          <w:rFonts w:ascii="Times New Roman" w:eastAsia="Times New Roman" w:hAnsi="Times New Roman" w:cs="Times New Roman"/>
          <w:b/>
          <w:color w:val="FF0000"/>
          <w:sz w:val="24"/>
          <w:lang w:val="sr-Cyrl-CS"/>
        </w:rPr>
      </w:pPr>
    </w:p>
    <w:p w:rsidR="002D2817" w:rsidRDefault="00E21CAB" w:rsidP="002D2817">
      <w:pPr>
        <w:spacing w:after="0" w:line="258" w:lineRule="auto"/>
        <w:ind w:left="14"/>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Наручилац је моделом уговора у члану 21. предвидео да су Пројектни задатак и понуда пружаоца услуге саставни део уговора. Како су у пројектном задатку ближе објашњене све обавезе и задужења  пружаоца услуге, није потребно у том делу мењати члан 2. модела уговора.</w:t>
      </w:r>
    </w:p>
    <w:p w:rsidR="00E21CAB" w:rsidRDefault="00F64783" w:rsidP="002D2817">
      <w:pPr>
        <w:spacing w:after="0" w:line="258" w:lineRule="auto"/>
        <w:ind w:left="14"/>
        <w:rPr>
          <w:rFonts w:ascii="Times New Roman" w:eastAsia="Times New Roman" w:hAnsi="Times New Roman" w:cs="Times New Roman"/>
          <w:color w:val="000000"/>
          <w:sz w:val="24"/>
          <w:szCs w:val="24"/>
          <w:lang w:val="sr-Cyrl-CS"/>
        </w:rPr>
      </w:pPr>
      <w:r>
        <w:rPr>
          <w:rFonts w:ascii="Times New Roman" w:eastAsia="Times New Roman" w:hAnsi="Times New Roman" w:cs="Times New Roman"/>
          <w:color w:val="000000"/>
          <w:sz w:val="24"/>
          <w:szCs w:val="24"/>
          <w:lang w:val="sr-Cyrl-CS"/>
        </w:rPr>
        <w:t>Кроз више чланова мo</w:t>
      </w:r>
      <w:r w:rsidR="00E21CAB">
        <w:rPr>
          <w:rFonts w:ascii="Times New Roman" w:eastAsia="Times New Roman" w:hAnsi="Times New Roman" w:cs="Times New Roman"/>
          <w:color w:val="000000"/>
          <w:sz w:val="24"/>
          <w:szCs w:val="24"/>
          <w:lang w:val="sr-Cyrl-CS"/>
        </w:rPr>
        <w:t>дела уговора се наводи да су понуда, Пројектни задатак и важећа законска регулатива, саставни део уговора.</w:t>
      </w:r>
    </w:p>
    <w:p w:rsidR="00B66BA5" w:rsidRPr="00B66BA5" w:rsidRDefault="00B66BA5" w:rsidP="006F453F">
      <w:pPr>
        <w:spacing w:after="0" w:line="258" w:lineRule="auto"/>
        <w:rPr>
          <w:rFonts w:ascii="Times New Roman" w:eastAsia="Times New Roman" w:hAnsi="Times New Roman" w:cs="Times New Roman"/>
          <w:b/>
          <w:color w:val="000000"/>
          <w:sz w:val="26"/>
          <w:lang w:val="sr-Cyrl-CS"/>
        </w:rPr>
      </w:pPr>
    </w:p>
    <w:p w:rsidR="002D2817" w:rsidRDefault="002D2817" w:rsidP="002D2817">
      <w:pPr>
        <w:spacing w:after="0" w:line="258" w:lineRule="auto"/>
        <w:ind w:left="14"/>
        <w:rPr>
          <w:rFonts w:ascii="Times New Roman" w:eastAsia="Times New Roman" w:hAnsi="Times New Roman" w:cs="Times New Roman"/>
          <w:b/>
          <w:color w:val="000000"/>
          <w:sz w:val="26"/>
        </w:rPr>
      </w:pPr>
      <w:r w:rsidRPr="002D2817">
        <w:rPr>
          <w:rFonts w:ascii="Times New Roman" w:eastAsia="Times New Roman" w:hAnsi="Times New Roman" w:cs="Times New Roman"/>
          <w:b/>
          <w:color w:val="000000"/>
          <w:sz w:val="26"/>
        </w:rPr>
        <w:t xml:space="preserve">ПИТАЊЕ </w:t>
      </w:r>
      <w:r>
        <w:rPr>
          <w:rFonts w:ascii="Times New Roman" w:eastAsia="Times New Roman" w:hAnsi="Times New Roman" w:cs="Times New Roman"/>
          <w:b/>
          <w:color w:val="000000"/>
          <w:sz w:val="26"/>
        </w:rPr>
        <w:t>4</w:t>
      </w:r>
    </w:p>
    <w:p w:rsidR="002D2817" w:rsidRPr="002D2817" w:rsidRDefault="002D2817" w:rsidP="002D2817">
      <w:pPr>
        <w:spacing w:after="0" w:line="258" w:lineRule="auto"/>
        <w:ind w:left="14"/>
        <w:rPr>
          <w:rFonts w:ascii="Times New Roman" w:eastAsia="Times New Roman" w:hAnsi="Times New Roman" w:cs="Times New Roman"/>
          <w:b/>
          <w:color w:val="000000"/>
          <w:sz w:val="24"/>
        </w:rPr>
      </w:pP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На страни 74 КД у оквиру обрасца „пот</w:t>
      </w:r>
      <w:r w:rsidR="00D023AF">
        <w:rPr>
          <w:rFonts w:ascii="Times New Roman" w:eastAsia="Times New Roman" w:hAnsi="Times New Roman" w:cs="Times New Roman"/>
          <w:color w:val="000000"/>
          <w:sz w:val="24"/>
        </w:rPr>
        <w:t>врда</w:t>
      </w:r>
      <w:r w:rsidRPr="002D2817">
        <w:rPr>
          <w:rFonts w:ascii="Times New Roman" w:eastAsia="Times New Roman" w:hAnsi="Times New Roman" w:cs="Times New Roman"/>
          <w:color w:val="000000"/>
          <w:sz w:val="24"/>
        </w:rPr>
        <w:t xml:space="preserve"> О РЕФЕРЕНЦАМА ПОНУЂАЧА за потврду пословног капацитета (тачка 1)“ наведено је да је Уговор за извођење радова заснован на </w:t>
      </w:r>
      <w:r w:rsidRPr="002D2817">
        <w:rPr>
          <w:rFonts w:ascii="Times New Roman" w:eastAsia="Times New Roman" w:hAnsi="Times New Roman" w:cs="Times New Roman"/>
          <w:color w:val="000000"/>
          <w:sz w:val="24"/>
          <w:u w:val="single" w:color="000000"/>
        </w:rPr>
        <w:t xml:space="preserve">моделу </w:t>
      </w:r>
      <w:r w:rsidRPr="002D2817">
        <w:rPr>
          <w:rFonts w:ascii="Times New Roman" w:eastAsia="Times New Roman" w:hAnsi="Times New Roman" w:cs="Times New Roman"/>
          <w:color w:val="000000"/>
          <w:sz w:val="24"/>
        </w:rPr>
        <w:t>уговора:</w:t>
      </w:r>
    </w:p>
    <w:p w:rsidR="002D2817" w:rsidRPr="002D2817" w:rsidRDefault="002D2817" w:rsidP="002D2817">
      <w:pPr>
        <w:spacing w:after="0"/>
        <w:ind w:left="43"/>
        <w:rPr>
          <w:rFonts w:ascii="Times New Roman" w:eastAsia="Times New Roman" w:hAnsi="Times New Roman" w:cs="Times New Roman"/>
          <w:color w:val="000000"/>
          <w:sz w:val="24"/>
        </w:rPr>
      </w:pPr>
      <w:r w:rsidRPr="002D2817">
        <w:rPr>
          <w:rFonts w:ascii="Times New Roman" w:eastAsia="Times New Roman" w:hAnsi="Times New Roman" w:cs="Times New Roman"/>
          <w:noProof/>
          <w:color w:val="000000"/>
        </w:rPr>
        <mc:AlternateContent>
          <mc:Choice Requires="wpg">
            <w:drawing>
              <wp:inline distT="0" distB="0" distL="0" distR="0" wp14:anchorId="0BE8354D" wp14:editId="6651741B">
                <wp:extent cx="6803594" cy="9144"/>
                <wp:effectExtent l="0" t="0" r="0" b="0"/>
                <wp:docPr id="35586" name="Group 35586"/>
                <wp:cNvGraphicFramePr/>
                <a:graphic xmlns:a="http://schemas.openxmlformats.org/drawingml/2006/main">
                  <a:graphicData uri="http://schemas.microsoft.com/office/word/2010/wordprocessingGroup">
                    <wpg:wgp>
                      <wpg:cNvGrpSpPr/>
                      <wpg:grpSpPr>
                        <a:xfrm>
                          <a:off x="0" y="0"/>
                          <a:ext cx="6803594" cy="9144"/>
                          <a:chOff x="0" y="0"/>
                          <a:chExt cx="6803594" cy="9144"/>
                        </a:xfrm>
                      </wpg:grpSpPr>
                      <wps:wsp>
                        <wps:cNvPr id="35585" name="Shape 35585"/>
                        <wps:cNvSpPr/>
                        <wps:spPr>
                          <a:xfrm>
                            <a:off x="0" y="0"/>
                            <a:ext cx="6803594" cy="9144"/>
                          </a:xfrm>
                          <a:custGeom>
                            <a:avLst/>
                            <a:gdLst/>
                            <a:ahLst/>
                            <a:cxnLst/>
                            <a:rect l="0" t="0" r="0" b="0"/>
                            <a:pathLst>
                              <a:path w="6803594" h="9144">
                                <a:moveTo>
                                  <a:pt x="0" y="4572"/>
                                </a:moveTo>
                                <a:lnTo>
                                  <a:pt x="6803594" y="4572"/>
                                </a:lnTo>
                              </a:path>
                            </a:pathLst>
                          </a:custGeom>
                          <a:noFill/>
                          <a:ln w="9144" cap="flat" cmpd="sng" algn="ctr">
                            <a:solidFill>
                              <a:srgbClr val="000000"/>
                            </a:solidFill>
                            <a:prstDash val="solid"/>
                            <a:miter lim="100000"/>
                          </a:ln>
                          <a:effectLst/>
                        </wps:spPr>
                        <wps:bodyPr/>
                      </wps:wsp>
                    </wpg:wgp>
                  </a:graphicData>
                </a:graphic>
              </wp:inline>
            </w:drawing>
          </mc:Choice>
          <mc:Fallback xmlns:cx1="http://schemas.microsoft.com/office/drawing/2015/9/8/chartex">
            <w:pict>
              <v:group w14:anchorId="25482C75" id="Group 35586" o:spid="_x0000_s1026" style="width:535.7pt;height:.7pt;mso-position-horizontal-relative:char;mso-position-vertical-relative:line" coordsize="680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">
                <v:shape id="Shape 35585" o:spid="_x0000_s1027" style="position:absolute;width:68035;height:91;visibility:visible;mso-wrap-style:square;v-text-anchor:top" coordsize="68035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" path="m,4572r6803594,e" filled="f" strokeweight=".72pt">
                  <v:stroke miterlimit="1" joinstyle="miter"/>
                  <v:path arrowok="t" textboxrect="0,0,6803594,9144"/>
                </v:shape>
                <w10:anchorlock/>
              </v:group>
            </w:pict>
          </mc:Fallback>
        </mc:AlternateContent>
      </w:r>
    </w:p>
    <w:p w:rsidR="002D2817" w:rsidRPr="002D2817" w:rsidRDefault="002D2817" w:rsidP="002D2817">
      <w:pPr>
        <w:spacing w:after="0"/>
        <w:ind w:left="720" w:right="653" w:hanging="10"/>
        <w:jc w:val="cente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 xml:space="preserve">[навести назив </w:t>
      </w:r>
      <w:r w:rsidRPr="002D2817">
        <w:rPr>
          <w:rFonts w:ascii="Times New Roman" w:eastAsia="Times New Roman" w:hAnsi="Times New Roman" w:cs="Times New Roman"/>
          <w:color w:val="000000"/>
          <w:sz w:val="24"/>
          <w:u w:val="single" w:color="000000"/>
        </w:rPr>
        <w:t>модела</w:t>
      </w:r>
      <w:r w:rsidRPr="002D2817">
        <w:rPr>
          <w:rFonts w:ascii="Times New Roman" w:eastAsia="Times New Roman" w:hAnsi="Times New Roman" w:cs="Times New Roman"/>
          <w:color w:val="000000"/>
          <w:sz w:val="24"/>
        </w:rPr>
        <w:t xml:space="preserve"> уговора за извођење радова]</w:t>
      </w: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Није јасно о каквом је „моделу” реч.</w:t>
      </w:r>
    </w:p>
    <w:p w:rsid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Потребно је да Наручилац објасни шта подразумева под речју „модел".</w:t>
      </w:r>
    </w:p>
    <w:p w:rsidR="002D2817" w:rsidRDefault="002D2817" w:rsidP="002D2817">
      <w:pPr>
        <w:spacing w:after="0" w:line="267" w:lineRule="auto"/>
        <w:ind w:left="14" w:right="4" w:firstLine="9"/>
        <w:jc w:val="both"/>
        <w:rPr>
          <w:rFonts w:ascii="Times New Roman" w:eastAsia="Times New Roman" w:hAnsi="Times New Roman" w:cs="Times New Roman"/>
          <w:color w:val="000000"/>
          <w:sz w:val="24"/>
        </w:rPr>
      </w:pPr>
    </w:p>
    <w:p w:rsidR="00B66BA5" w:rsidRDefault="00B66BA5" w:rsidP="002D2817">
      <w:pPr>
        <w:spacing w:after="0" w:line="267" w:lineRule="auto"/>
        <w:ind w:left="14" w:right="4" w:firstLine="9"/>
        <w:jc w:val="both"/>
        <w:rPr>
          <w:rFonts w:ascii="Times New Roman" w:eastAsia="Times New Roman" w:hAnsi="Times New Roman" w:cs="Times New Roman"/>
          <w:b/>
          <w:color w:val="000000"/>
          <w:sz w:val="24"/>
          <w:lang w:val="sr-Cyrl-CS"/>
        </w:rPr>
      </w:pPr>
    </w:p>
    <w:p w:rsidR="002D2817" w:rsidRDefault="002D2817" w:rsidP="002D2817">
      <w:pPr>
        <w:spacing w:after="0" w:line="267" w:lineRule="auto"/>
        <w:ind w:left="14" w:right="4" w:firstLine="9"/>
        <w:jc w:val="both"/>
        <w:rPr>
          <w:rFonts w:ascii="Times New Roman" w:eastAsia="Times New Roman" w:hAnsi="Times New Roman" w:cs="Times New Roman"/>
          <w:b/>
          <w:color w:val="000000"/>
          <w:sz w:val="24"/>
          <w:lang w:val="sr-Cyrl-CS"/>
        </w:rPr>
      </w:pPr>
      <w:r w:rsidRPr="002D2817">
        <w:rPr>
          <w:rFonts w:ascii="Times New Roman" w:eastAsia="Times New Roman" w:hAnsi="Times New Roman" w:cs="Times New Roman"/>
          <w:b/>
          <w:color w:val="000000"/>
          <w:sz w:val="24"/>
          <w:lang w:val="sr-Cyrl-CS"/>
        </w:rPr>
        <w:t>ОДГОВОР</w:t>
      </w:r>
    </w:p>
    <w:p w:rsidR="002D2817" w:rsidRDefault="002D2817" w:rsidP="002D2817">
      <w:pPr>
        <w:spacing w:after="0" w:line="267" w:lineRule="auto"/>
        <w:ind w:left="14" w:right="4" w:firstLine="9"/>
        <w:jc w:val="both"/>
        <w:rPr>
          <w:rFonts w:ascii="Times New Roman" w:eastAsia="Times New Roman" w:hAnsi="Times New Roman" w:cs="Times New Roman"/>
          <w:b/>
          <w:color w:val="000000"/>
          <w:sz w:val="24"/>
          <w:lang w:val="sr-Cyrl-CS"/>
        </w:rPr>
      </w:pPr>
    </w:p>
    <w:p w:rsidR="002D2817" w:rsidRPr="002D2817" w:rsidRDefault="00B66BA5" w:rsidP="002D2817">
      <w:pPr>
        <w:spacing w:after="0" w:line="267" w:lineRule="auto"/>
        <w:ind w:left="14" w:right="4" w:firstLine="9"/>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 xml:space="preserve">Следи измена конкурсне документације </w:t>
      </w:r>
      <w:r w:rsidR="002D2817" w:rsidRPr="002D2817">
        <w:rPr>
          <w:rFonts w:ascii="Times New Roman" w:eastAsia="Times New Roman" w:hAnsi="Times New Roman" w:cs="Times New Roman"/>
          <w:color w:val="000000"/>
          <w:sz w:val="24"/>
          <w:lang w:val="sr-Cyrl-CS"/>
        </w:rPr>
        <w:t>тако што се из потврде за пословни капацитет исправља техни</w:t>
      </w:r>
      <w:r w:rsidR="001734C1">
        <w:rPr>
          <w:rFonts w:ascii="Times New Roman" w:eastAsia="Times New Roman" w:hAnsi="Times New Roman" w:cs="Times New Roman"/>
          <w:color w:val="000000"/>
          <w:sz w:val="24"/>
          <w:lang w:val="sr-Cyrl-CS"/>
        </w:rPr>
        <w:t>ч</w:t>
      </w:r>
      <w:r w:rsidR="002D2817" w:rsidRPr="002D2817">
        <w:rPr>
          <w:rFonts w:ascii="Times New Roman" w:eastAsia="Times New Roman" w:hAnsi="Times New Roman" w:cs="Times New Roman"/>
          <w:color w:val="000000"/>
          <w:sz w:val="24"/>
          <w:lang w:val="sr-Cyrl-CS"/>
        </w:rPr>
        <w:t>ка грешка и брише реч „модел“.</w:t>
      </w:r>
    </w:p>
    <w:p w:rsidR="00B66BA5" w:rsidRDefault="00B66BA5" w:rsidP="002D2817">
      <w:pPr>
        <w:spacing w:after="0" w:line="258" w:lineRule="auto"/>
        <w:ind w:left="14"/>
        <w:rPr>
          <w:rFonts w:ascii="Times New Roman" w:eastAsia="Times New Roman" w:hAnsi="Times New Roman" w:cs="Times New Roman"/>
          <w:b/>
          <w:color w:val="000000"/>
          <w:sz w:val="26"/>
        </w:rPr>
      </w:pPr>
    </w:p>
    <w:p w:rsidR="002D2817" w:rsidRDefault="002D2817" w:rsidP="002D2817">
      <w:pPr>
        <w:spacing w:after="0" w:line="258" w:lineRule="auto"/>
        <w:ind w:left="14"/>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ПИТАЊЕ 5</w:t>
      </w:r>
    </w:p>
    <w:p w:rsidR="002D2817" w:rsidRPr="002D2817" w:rsidRDefault="002D2817" w:rsidP="002D2817">
      <w:pPr>
        <w:spacing w:after="0" w:line="258" w:lineRule="auto"/>
        <w:ind w:left="14"/>
        <w:rPr>
          <w:rFonts w:ascii="Times New Roman" w:eastAsia="Times New Roman" w:hAnsi="Times New Roman" w:cs="Times New Roman"/>
          <w:b/>
          <w:color w:val="000000"/>
          <w:sz w:val="24"/>
        </w:rPr>
      </w:pPr>
    </w:p>
    <w:p w:rsidR="002D2817" w:rsidRPr="002D2817" w:rsidRDefault="002D2817" w:rsidP="002D2817">
      <w:pPr>
        <w:spacing w:after="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У Обрасцу структуре цене два пута је наведена рубрика „Трошкови лабораторије”. Потребно је да Наручилац одговори да ли је реч о грешци или је то учињено из одређеног разлога?</w:t>
      </w:r>
    </w:p>
    <w:tbl>
      <w:tblPr>
        <w:tblStyle w:val="TableGrid"/>
        <w:tblW w:w="10021" w:type="dxa"/>
        <w:tblInd w:w="41" w:type="dxa"/>
        <w:tblCellMar>
          <w:top w:w="53" w:type="dxa"/>
          <w:left w:w="101" w:type="dxa"/>
          <w:right w:w="115" w:type="dxa"/>
        </w:tblCellMar>
        <w:tblLook w:val="04A0" w:firstRow="1" w:lastRow="0" w:firstColumn="1" w:lastColumn="0" w:noHBand="0" w:noVBand="1"/>
      </w:tblPr>
      <w:tblGrid>
        <w:gridCol w:w="3545"/>
        <w:gridCol w:w="3653"/>
        <w:gridCol w:w="2823"/>
      </w:tblGrid>
      <w:tr w:rsidR="002D2817" w:rsidRPr="002D2817" w:rsidTr="00B66BA5">
        <w:trPr>
          <w:trHeight w:val="559"/>
        </w:trPr>
        <w:tc>
          <w:tcPr>
            <w:tcW w:w="3545"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ind w:left="2"/>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6"/>
              </w:rPr>
              <w:t>Назив</w:t>
            </w:r>
          </w:p>
        </w:tc>
        <w:tc>
          <w:tcPr>
            <w:tcW w:w="365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6"/>
              </w:rPr>
              <w:t>цена без ПДВ-а</w:t>
            </w:r>
          </w:p>
        </w:tc>
        <w:tc>
          <w:tcPr>
            <w:tcW w:w="282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ind w:left="5"/>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rPr>
              <w:t>цена са ПДВ-ОМ</w:t>
            </w:r>
          </w:p>
        </w:tc>
      </w:tr>
      <w:tr w:rsidR="002D2817" w:rsidRPr="002D2817" w:rsidTr="00B66BA5">
        <w:trPr>
          <w:trHeight w:val="629"/>
        </w:trPr>
        <w:tc>
          <w:tcPr>
            <w:tcW w:w="3545"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ind w:left="26"/>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Трошкове ангажовање особља</w:t>
            </w:r>
          </w:p>
        </w:tc>
        <w:tc>
          <w:tcPr>
            <w:tcW w:w="365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rPr>
                <w:rFonts w:ascii="Times New Roman" w:eastAsia="Times New Roman" w:hAnsi="Times New Roman" w:cs="Times New Roman"/>
                <w:color w:val="000000"/>
                <w:sz w:val="24"/>
              </w:rPr>
            </w:pPr>
          </w:p>
        </w:tc>
        <w:tc>
          <w:tcPr>
            <w:tcW w:w="282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rPr>
                <w:rFonts w:ascii="Times New Roman" w:eastAsia="Times New Roman" w:hAnsi="Times New Roman" w:cs="Times New Roman"/>
                <w:color w:val="000000"/>
                <w:sz w:val="24"/>
              </w:rPr>
            </w:pPr>
          </w:p>
        </w:tc>
      </w:tr>
      <w:tr w:rsidR="002D2817" w:rsidRPr="002D2817" w:rsidTr="00B66BA5">
        <w:trPr>
          <w:trHeight w:val="653"/>
        </w:trPr>
        <w:tc>
          <w:tcPr>
            <w:tcW w:w="3545"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ind w:left="26"/>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Трошкове лабораторије</w:t>
            </w:r>
          </w:p>
        </w:tc>
        <w:tc>
          <w:tcPr>
            <w:tcW w:w="365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rPr>
                <w:rFonts w:ascii="Times New Roman" w:eastAsia="Times New Roman" w:hAnsi="Times New Roman" w:cs="Times New Roman"/>
                <w:color w:val="000000"/>
                <w:sz w:val="24"/>
              </w:rPr>
            </w:pPr>
          </w:p>
        </w:tc>
        <w:tc>
          <w:tcPr>
            <w:tcW w:w="282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rPr>
                <w:rFonts w:ascii="Times New Roman" w:eastAsia="Times New Roman" w:hAnsi="Times New Roman" w:cs="Times New Roman"/>
                <w:color w:val="000000"/>
                <w:sz w:val="24"/>
              </w:rPr>
            </w:pPr>
          </w:p>
        </w:tc>
      </w:tr>
      <w:tr w:rsidR="002D2817" w:rsidRPr="002D2817" w:rsidTr="00B66BA5">
        <w:trPr>
          <w:trHeight w:val="507"/>
        </w:trPr>
        <w:tc>
          <w:tcPr>
            <w:tcW w:w="3545"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ind w:left="21"/>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Трошкове лабораторије</w:t>
            </w:r>
          </w:p>
        </w:tc>
        <w:tc>
          <w:tcPr>
            <w:tcW w:w="365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rPr>
                <w:rFonts w:ascii="Times New Roman" w:eastAsia="Times New Roman" w:hAnsi="Times New Roman" w:cs="Times New Roman"/>
                <w:color w:val="000000"/>
                <w:sz w:val="24"/>
              </w:rPr>
            </w:pPr>
          </w:p>
        </w:tc>
        <w:tc>
          <w:tcPr>
            <w:tcW w:w="282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rPr>
                <w:rFonts w:ascii="Times New Roman" w:eastAsia="Times New Roman" w:hAnsi="Times New Roman" w:cs="Times New Roman"/>
                <w:color w:val="000000"/>
                <w:sz w:val="24"/>
              </w:rPr>
            </w:pPr>
          </w:p>
        </w:tc>
      </w:tr>
      <w:tr w:rsidR="002D2817" w:rsidRPr="002D2817" w:rsidTr="00B66BA5">
        <w:trPr>
          <w:trHeight w:val="514"/>
        </w:trPr>
        <w:tc>
          <w:tcPr>
            <w:tcW w:w="3545"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ind w:left="26"/>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Укупно</w:t>
            </w:r>
          </w:p>
        </w:tc>
        <w:tc>
          <w:tcPr>
            <w:tcW w:w="365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rPr>
                <w:rFonts w:ascii="Times New Roman" w:eastAsia="Times New Roman" w:hAnsi="Times New Roman" w:cs="Times New Roman"/>
                <w:color w:val="000000"/>
                <w:sz w:val="24"/>
              </w:rPr>
            </w:pPr>
          </w:p>
        </w:tc>
        <w:tc>
          <w:tcPr>
            <w:tcW w:w="2823" w:type="dxa"/>
            <w:tcBorders>
              <w:top w:val="single" w:sz="2" w:space="0" w:color="000000"/>
              <w:left w:val="single" w:sz="2" w:space="0" w:color="000000"/>
              <w:bottom w:val="single" w:sz="2" w:space="0" w:color="000000"/>
              <w:right w:val="single" w:sz="2" w:space="0" w:color="000000"/>
            </w:tcBorders>
          </w:tcPr>
          <w:p w:rsidR="002D2817" w:rsidRPr="002D2817" w:rsidRDefault="002D2817" w:rsidP="004E3048">
            <w:pPr>
              <w:rPr>
                <w:rFonts w:ascii="Times New Roman" w:eastAsia="Times New Roman" w:hAnsi="Times New Roman" w:cs="Times New Roman"/>
                <w:color w:val="000000"/>
                <w:sz w:val="24"/>
              </w:rPr>
            </w:pPr>
          </w:p>
        </w:tc>
      </w:tr>
    </w:tbl>
    <w:p w:rsidR="002D2817" w:rsidRPr="002D2817" w:rsidRDefault="002D2817" w:rsidP="002D2817">
      <w:pPr>
        <w:spacing w:after="0"/>
        <w:ind w:left="38"/>
        <w:rPr>
          <w:rFonts w:ascii="Times New Roman" w:eastAsia="Times New Roman" w:hAnsi="Times New Roman" w:cs="Times New Roman"/>
          <w:color w:val="000000"/>
          <w:sz w:val="24"/>
        </w:rPr>
      </w:pPr>
    </w:p>
    <w:p w:rsidR="002D2817" w:rsidRDefault="002D2817" w:rsidP="002D2817">
      <w:pPr>
        <w:spacing w:after="210" w:line="267" w:lineRule="auto"/>
        <w:ind w:left="5" w:firstLine="9"/>
        <w:jc w:val="both"/>
        <w:rPr>
          <w:rFonts w:ascii="Times New Roman" w:eastAsia="Times New Roman" w:hAnsi="Times New Roman" w:cs="Times New Roman"/>
          <w:b/>
          <w:color w:val="000000"/>
          <w:sz w:val="24"/>
          <w:lang w:val="sr-Cyrl-CS"/>
        </w:rPr>
      </w:pPr>
      <w:r w:rsidRPr="002D2817">
        <w:rPr>
          <w:rFonts w:ascii="Times New Roman" w:eastAsia="Times New Roman" w:hAnsi="Times New Roman" w:cs="Times New Roman"/>
          <w:b/>
          <w:color w:val="000000"/>
          <w:sz w:val="24"/>
          <w:lang w:val="sr-Cyrl-CS"/>
        </w:rPr>
        <w:t>ОДГОВОР</w:t>
      </w:r>
    </w:p>
    <w:p w:rsidR="00B66BA5" w:rsidRDefault="00B66BA5" w:rsidP="00B66BA5">
      <w:pPr>
        <w:spacing w:after="210" w:line="267" w:lineRule="auto"/>
        <w:jc w:val="both"/>
        <w:rPr>
          <w:rFonts w:ascii="Times New Roman" w:eastAsia="Times New Roman" w:hAnsi="Times New Roman" w:cs="Times New Roman"/>
          <w:color w:val="000000"/>
          <w:sz w:val="24"/>
          <w:lang w:val="sr-Cyrl-CS"/>
        </w:rPr>
      </w:pPr>
      <w:r>
        <w:rPr>
          <w:rFonts w:ascii="Times New Roman" w:eastAsia="Times New Roman" w:hAnsi="Times New Roman" w:cs="Times New Roman"/>
          <w:color w:val="000000"/>
          <w:sz w:val="24"/>
          <w:lang w:val="sr-Cyrl-CS"/>
        </w:rPr>
        <w:t xml:space="preserve">Следи измена конкурсне документације </w:t>
      </w:r>
      <w:r w:rsidR="002D2817" w:rsidRPr="002D2817">
        <w:rPr>
          <w:rFonts w:ascii="Times New Roman" w:eastAsia="Times New Roman" w:hAnsi="Times New Roman" w:cs="Times New Roman"/>
          <w:color w:val="000000"/>
          <w:sz w:val="24"/>
          <w:lang w:val="sr-Cyrl-CS"/>
        </w:rPr>
        <w:t>тако што се исправља техничка грешка и брише једн</w:t>
      </w:r>
      <w:r>
        <w:rPr>
          <w:rFonts w:ascii="Times New Roman" w:eastAsia="Times New Roman" w:hAnsi="Times New Roman" w:cs="Times New Roman"/>
          <w:color w:val="000000"/>
          <w:sz w:val="24"/>
          <w:lang w:val="sr-Cyrl-CS"/>
        </w:rPr>
        <w:t>а колона „Трошкови лабораторије</w:t>
      </w:r>
    </w:p>
    <w:p w:rsidR="00F558FE" w:rsidRDefault="00F558FE" w:rsidP="00B66BA5">
      <w:pPr>
        <w:spacing w:after="210" w:line="267" w:lineRule="auto"/>
        <w:jc w:val="both"/>
        <w:rPr>
          <w:rFonts w:ascii="Times New Roman" w:eastAsia="Times New Roman" w:hAnsi="Times New Roman" w:cs="Times New Roman"/>
          <w:b/>
          <w:color w:val="000000"/>
          <w:sz w:val="26"/>
        </w:rPr>
      </w:pPr>
    </w:p>
    <w:p w:rsidR="002D2817" w:rsidRPr="002D2817" w:rsidRDefault="002D2817" w:rsidP="00B66BA5">
      <w:pPr>
        <w:spacing w:after="210" w:line="267" w:lineRule="auto"/>
        <w:jc w:val="both"/>
        <w:rPr>
          <w:rFonts w:ascii="Times New Roman" w:eastAsia="Times New Roman" w:hAnsi="Times New Roman" w:cs="Times New Roman"/>
          <w:b/>
          <w:color w:val="000000"/>
          <w:sz w:val="24"/>
        </w:rPr>
      </w:pPr>
      <w:r w:rsidRPr="002D2817">
        <w:rPr>
          <w:rFonts w:ascii="Times New Roman" w:eastAsia="Times New Roman" w:hAnsi="Times New Roman" w:cs="Times New Roman"/>
          <w:b/>
          <w:color w:val="000000"/>
          <w:sz w:val="26"/>
        </w:rPr>
        <w:t>ПИТАЊЕ 6</w:t>
      </w:r>
    </w:p>
    <w:p w:rsidR="002D2817" w:rsidRPr="002D2817" w:rsidRDefault="002D2817" w:rsidP="002D2817">
      <w:pPr>
        <w:spacing w:after="210"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У Измени и допуни КД број 2 у делу који се односи на испуњеност услова у погледу Техничког капацитета избрисана су следећа испитивања:</w:t>
      </w:r>
    </w:p>
    <w:p w:rsidR="002D2817" w:rsidRPr="002D2817" w:rsidRDefault="002D2817" w:rsidP="002D2817">
      <w:pPr>
        <w:numPr>
          <w:ilvl w:val="0"/>
          <w:numId w:val="10"/>
        </w:numPr>
        <w:spacing w:after="17" w:line="258" w:lineRule="auto"/>
        <w:ind w:hanging="422"/>
        <w:jc w:val="both"/>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Гранулометријски састав каменог брашна СРПС Б.Б8.105 или СРПС ЕН 933-10,</w:t>
      </w:r>
    </w:p>
    <w:p w:rsidR="002D2817" w:rsidRPr="002D2817" w:rsidRDefault="002D2817" w:rsidP="002D2817">
      <w:pPr>
        <w:numPr>
          <w:ilvl w:val="0"/>
          <w:numId w:val="10"/>
        </w:numPr>
        <w:spacing w:after="14" w:line="258" w:lineRule="auto"/>
        <w:ind w:hanging="422"/>
        <w:jc w:val="both"/>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Одређивање стварне запреминске масе каменог брашна (пикнометарска метода) СРПС Б.Б8.1О1 или СРПС ЕН 1097-7,</w:t>
      </w:r>
    </w:p>
    <w:p w:rsidR="002D2817" w:rsidRPr="002D2817" w:rsidRDefault="002D2817" w:rsidP="002D2817">
      <w:pPr>
        <w:numPr>
          <w:ilvl w:val="0"/>
          <w:numId w:val="10"/>
        </w:numPr>
        <w:spacing w:after="193" w:line="258" w:lineRule="auto"/>
        <w:ind w:hanging="422"/>
        <w:jc w:val="both"/>
        <w:rPr>
          <w:rFonts w:ascii="Times New Roman" w:eastAsia="Times New Roman" w:hAnsi="Times New Roman" w:cs="Times New Roman"/>
          <w:color w:val="000000"/>
          <w:sz w:val="24"/>
          <w:szCs w:val="24"/>
        </w:rPr>
      </w:pPr>
      <w:r w:rsidRPr="002D2817">
        <w:rPr>
          <w:rFonts w:ascii="Times New Roman" w:eastAsia="Times New Roman" w:hAnsi="Times New Roman" w:cs="Times New Roman"/>
          <w:color w:val="000000"/>
          <w:sz w:val="24"/>
          <w:szCs w:val="24"/>
        </w:rPr>
        <w:t>Одређивање удела шупљина пунила у суво сабијеном стању (шупљине према Rigden-y) СРПС Б.Б8.1О2 или СРПС ЕН 1097-4,</w:t>
      </w:r>
    </w:p>
    <w:p w:rsidR="00B66BA5" w:rsidRPr="00F558FE" w:rsidRDefault="002D2817" w:rsidP="00F558FE">
      <w:pPr>
        <w:spacing w:after="506" w:line="267" w:lineRule="auto"/>
        <w:ind w:left="14" w:right="4" w:firstLine="9"/>
        <w:jc w:val="both"/>
        <w:rPr>
          <w:rFonts w:ascii="Times New Roman" w:eastAsia="Times New Roman" w:hAnsi="Times New Roman" w:cs="Times New Roman"/>
          <w:color w:val="000000"/>
          <w:sz w:val="24"/>
        </w:rPr>
      </w:pPr>
      <w:r w:rsidRPr="002D2817">
        <w:rPr>
          <w:rFonts w:ascii="Times New Roman" w:eastAsia="Times New Roman" w:hAnsi="Times New Roman" w:cs="Times New Roman"/>
          <w:color w:val="000000"/>
          <w:sz w:val="24"/>
        </w:rPr>
        <w:t>Зашто су ова испитивања избрисана с обзиром да се наведена испитивања увек користе као доказ квалитета каменог брашна и спадају у обавезна како текућа тако и контролна испитивања у току изградње?</w:t>
      </w:r>
    </w:p>
    <w:p w:rsidR="002D2817" w:rsidRPr="00B66BA5" w:rsidRDefault="002D2817" w:rsidP="002D2817">
      <w:pPr>
        <w:spacing w:after="0" w:line="267" w:lineRule="auto"/>
        <w:ind w:left="23" w:right="4"/>
        <w:jc w:val="both"/>
        <w:rPr>
          <w:rFonts w:ascii="Times New Roman" w:eastAsia="Times New Roman" w:hAnsi="Times New Roman" w:cs="Times New Roman"/>
          <w:b/>
          <w:sz w:val="24"/>
          <w:lang w:val="sr-Cyrl-CS"/>
        </w:rPr>
      </w:pPr>
      <w:r w:rsidRPr="00B66BA5">
        <w:rPr>
          <w:rFonts w:ascii="Times New Roman" w:eastAsia="Times New Roman" w:hAnsi="Times New Roman" w:cs="Times New Roman"/>
          <w:b/>
          <w:sz w:val="24"/>
          <w:lang w:val="sr-Cyrl-CS"/>
        </w:rPr>
        <w:t>ОДГОВОР</w:t>
      </w:r>
    </w:p>
    <w:p w:rsidR="002D2817" w:rsidRPr="00B66BA5" w:rsidRDefault="002D2817" w:rsidP="002D2817">
      <w:pPr>
        <w:spacing w:after="0" w:line="258" w:lineRule="auto"/>
        <w:ind w:left="14"/>
        <w:rPr>
          <w:rFonts w:ascii="Times New Roman" w:eastAsia="Times New Roman" w:hAnsi="Times New Roman" w:cs="Times New Roman"/>
          <w:b/>
          <w:sz w:val="26"/>
        </w:rPr>
      </w:pPr>
    </w:p>
    <w:p w:rsidR="00B66BA5" w:rsidRDefault="00B66BA5" w:rsidP="00B66BA5">
      <w:pPr>
        <w:pStyle w:val="PlainText"/>
        <w:jc w:val="both"/>
        <w:rPr>
          <w:rFonts w:ascii="Times New Roman" w:hAnsi="Times New Roman" w:cs="Times New Roman"/>
          <w:sz w:val="24"/>
          <w:szCs w:val="24"/>
          <w:lang w:val="sr-Latn-RS"/>
        </w:rPr>
      </w:pPr>
      <w:r>
        <w:rPr>
          <w:rFonts w:ascii="Times New Roman" w:hAnsi="Times New Roman" w:cs="Times New Roman"/>
          <w:sz w:val="24"/>
          <w:szCs w:val="24"/>
          <w:lang w:val="sr-Cyrl-RS"/>
        </w:rPr>
        <w:lastRenderedPageBreak/>
        <w:t>Наручиоц је у одговору већ образложио разлоге за умањивање захтеваног минималног обима испитивања контролне лабораторије. Захтеваним испитивањима асфалтне масе извршиће се одговарајућа контрола квалитета изведених радова, без негативних утицаја на свеукупни квалитет изведеног објекта.</w:t>
      </w:r>
      <w:r>
        <w:rPr>
          <w:rFonts w:ascii="Times New Roman" w:hAnsi="Times New Roman" w:cs="Times New Roman"/>
          <w:sz w:val="24"/>
          <w:szCs w:val="24"/>
          <w:lang w:val="sr-Latn-RS"/>
        </w:rPr>
        <w:t xml:space="preserve"> </w:t>
      </w:r>
    </w:p>
    <w:p w:rsidR="00B66BA5" w:rsidRPr="00275BC8" w:rsidRDefault="00B66BA5" w:rsidP="00B66BA5">
      <w:pPr>
        <w:pStyle w:val="PlainText"/>
        <w:jc w:val="both"/>
        <w:rPr>
          <w:rFonts w:ascii="Times New Roman" w:hAnsi="Times New Roman" w:cs="Times New Roman"/>
          <w:sz w:val="24"/>
          <w:szCs w:val="24"/>
          <w:lang w:val="sr-Latn-RS"/>
        </w:rPr>
      </w:pPr>
      <w:r>
        <w:rPr>
          <w:rFonts w:ascii="Times New Roman" w:hAnsi="Times New Roman" w:cs="Times New Roman"/>
          <w:sz w:val="24"/>
          <w:szCs w:val="24"/>
          <w:lang w:val="sr-Cyrl-RS"/>
        </w:rPr>
        <w:t>Такође</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предметна</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испитивање</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даље</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стоје</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пројектном</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задатку</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потребна</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али</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њих</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акредитација</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тј</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нису</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услова</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Pr="00275B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доказују</w:t>
      </w:r>
      <w:r>
        <w:rPr>
          <w:rFonts w:ascii="Times New Roman" w:hAnsi="Times New Roman" w:cs="Times New Roman"/>
          <w:sz w:val="24"/>
          <w:szCs w:val="24"/>
          <w:lang w:val="sr-Latn-RS"/>
        </w:rPr>
        <w:t>.</w:t>
      </w:r>
    </w:p>
    <w:p w:rsidR="002D2817" w:rsidRPr="002D2817" w:rsidRDefault="002D2817" w:rsidP="002D2817">
      <w:pPr>
        <w:spacing w:after="506" w:line="267" w:lineRule="auto"/>
        <w:ind w:left="14" w:right="4" w:firstLine="9"/>
        <w:jc w:val="both"/>
        <w:rPr>
          <w:rFonts w:ascii="Times New Roman" w:eastAsia="Times New Roman" w:hAnsi="Times New Roman" w:cs="Times New Roman"/>
          <w:color w:val="000000"/>
          <w:sz w:val="24"/>
        </w:rPr>
      </w:pPr>
    </w:p>
    <w:p w:rsidR="0080628E" w:rsidRDefault="0080628E" w:rsidP="004B097F">
      <w:pPr>
        <w:pStyle w:val="PlainText"/>
        <w:jc w:val="both"/>
        <w:rPr>
          <w:rFonts w:ascii="Times New Roman" w:hAnsi="Times New Roman" w:cs="Times New Roman"/>
          <w:b/>
          <w:sz w:val="24"/>
          <w:szCs w:val="24"/>
          <w:lang w:val="sr-Cyrl-CS"/>
        </w:rPr>
      </w:pPr>
    </w:p>
    <w:sectPr w:rsidR="0080628E" w:rsidSect="00B66BA5">
      <w:footerReference w:type="even" r:id="rId15"/>
      <w:footerReference w:type="default" r:id="rId16"/>
      <w:footerReference w:type="first" r:id="rId17"/>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DFF" w:rsidRDefault="00853DFF" w:rsidP="00A27FBF">
      <w:pPr>
        <w:spacing w:after="0" w:line="240" w:lineRule="auto"/>
      </w:pPr>
      <w:r>
        <w:separator/>
      </w:r>
    </w:p>
  </w:endnote>
  <w:endnote w:type="continuationSeparator" w:id="0">
    <w:p w:rsidR="00853DFF" w:rsidRDefault="00853DFF" w:rsidP="00A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17" w:rsidRDefault="002D2817">
    <w:pPr>
      <w:spacing w:after="0"/>
      <w:ind w:right="106"/>
      <w:jc w:val="right"/>
    </w:pPr>
    <w:r>
      <w:rPr>
        <w:sz w:val="20"/>
      </w:rPr>
      <w:t xml:space="preserve">fax. 011.40.38.159 </w:t>
    </w:r>
    <w:proofErr w:type="spellStart"/>
    <w:r>
      <w:t>kneginje</w:t>
    </w:r>
    <w:proofErr w:type="spellEnd"/>
    <w:r>
      <w:t xml:space="preserve"> </w:t>
    </w:r>
    <w:proofErr w:type="spellStart"/>
    <w:r>
      <w:rPr>
        <w:sz w:val="20"/>
      </w:rPr>
      <w:t>Zorke</w:t>
    </w:r>
    <w:proofErr w:type="spellEnd"/>
    <w:r>
      <w:rPr>
        <w:sz w:val="20"/>
      </w:rPr>
      <w:t xml:space="preserve"> 80, Beograd </w:t>
    </w:r>
    <w:r>
      <w:t xml:space="preserve">ТВ: </w:t>
    </w:r>
    <w:r>
      <w:rPr>
        <w:sz w:val="20"/>
      </w:rPr>
      <w:t xml:space="preserve">106826138 Teku6i </w:t>
    </w:r>
    <w:proofErr w:type="spellStart"/>
    <w:r>
      <w:rPr>
        <w:sz w:val="20"/>
      </w:rPr>
      <w:t>raeun</w:t>
    </w:r>
    <w:proofErr w:type="spellEnd"/>
    <w:r>
      <w:rPr>
        <w:sz w:val="20"/>
      </w:rPr>
      <w:t>: 275-0010222604710-16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6866"/>
      <w:docPartObj>
        <w:docPartGallery w:val="Page Numbers (Bottom of Page)"/>
        <w:docPartUnique/>
      </w:docPartObj>
    </w:sdtPr>
    <w:sdtEndPr>
      <w:rPr>
        <w:noProof/>
      </w:rPr>
    </w:sdtEndPr>
    <w:sdtContent>
      <w:p w:rsidR="007F7860" w:rsidRDefault="007F786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2D2817" w:rsidRDefault="002D2817">
    <w:pPr>
      <w:tabs>
        <w:tab w:val="center" w:pos="5086"/>
        <w:tab w:val="right" w:pos="10743"/>
      </w:tabs>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817" w:rsidRDefault="002D2817">
    <w:pPr>
      <w:tabs>
        <w:tab w:val="center" w:pos="3989"/>
        <w:tab w:val="right" w:pos="10743"/>
      </w:tabs>
      <w:spacing w:after="0"/>
    </w:pPr>
    <w:r>
      <w:rPr>
        <w:rFonts w:ascii="Times New Roman" w:eastAsia="Times New Roman" w:hAnsi="Times New Roman" w:cs="Times New Roman"/>
      </w:rPr>
      <w:tab/>
    </w:r>
    <w:r>
      <w:rPr>
        <w:rFonts w:ascii="Times New Roman" w:eastAsia="Times New Roman" w:hAnsi="Times New Roman" w:cs="Times New Roman"/>
        <w:sz w:val="20"/>
      </w:rPr>
      <w:t xml:space="preserve">fax. 011.40.38.159 </w:t>
    </w:r>
    <w:proofErr w:type="spellStart"/>
    <w:r>
      <w:rPr>
        <w:rFonts w:ascii="Times New Roman" w:eastAsia="Times New Roman" w:hAnsi="Times New Roman" w:cs="Times New Roman"/>
      </w:rPr>
      <w:t>kneginje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sz w:val="20"/>
      </w:rPr>
      <w:t>Zorke</w:t>
    </w:r>
    <w:proofErr w:type="spellEnd"/>
    <w:r>
      <w:rPr>
        <w:rFonts w:ascii="Times New Roman" w:eastAsia="Times New Roman" w:hAnsi="Times New Roman" w:cs="Times New Roman"/>
        <w:sz w:val="20"/>
      </w:rPr>
      <w:t xml:space="preserve"> 80, Beograd </w:t>
    </w:r>
    <w:r>
      <w:rPr>
        <w:rFonts w:ascii="Times New Roman" w:eastAsia="Times New Roman" w:hAnsi="Times New Roman" w:cs="Times New Roman"/>
        <w:sz w:val="20"/>
      </w:rPr>
      <w:tab/>
      <w:t xml:space="preserve">106826138 Teku6i </w:t>
    </w:r>
    <w:proofErr w:type="spellStart"/>
    <w:r>
      <w:rPr>
        <w:rFonts w:ascii="Times New Roman" w:eastAsia="Times New Roman" w:hAnsi="Times New Roman" w:cs="Times New Roman"/>
        <w:sz w:val="20"/>
      </w:rPr>
      <w:t>radun</w:t>
    </w:r>
    <w:proofErr w:type="spellEnd"/>
    <w:r>
      <w:rPr>
        <w:rFonts w:ascii="Times New Roman" w:eastAsia="Times New Roman" w:hAnsi="Times New Roman" w:cs="Times New Roman"/>
        <w:sz w:val="20"/>
      </w:rPr>
      <w:t>: 275-0010222604710-16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DFF" w:rsidRDefault="00853DFF" w:rsidP="00A27FBF">
      <w:pPr>
        <w:spacing w:after="0" w:line="240" w:lineRule="auto"/>
      </w:pPr>
      <w:r>
        <w:separator/>
      </w:r>
    </w:p>
  </w:footnote>
  <w:footnote w:type="continuationSeparator" w:id="0">
    <w:p w:rsidR="00853DFF" w:rsidRDefault="00853DFF" w:rsidP="00A2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4" style="width:14.25pt;height:13.5pt" coordsize="" o:spt="100" o:bullet="t" adj="0,,0" path="" stroked="f">
        <v:stroke joinstyle="miter"/>
        <v:imagedata r:id="rId1" o:title="image33"/>
        <v:formulas/>
        <v:path o:connecttype="segments"/>
      </v:shape>
    </w:pict>
  </w:numPicBullet>
  <w:abstractNum w:abstractNumId="0" w15:restartNumberingAfterBreak="0">
    <w:nsid w:val="00FF751C"/>
    <w:multiLevelType w:val="hybridMultilevel"/>
    <w:tmpl w:val="47FE5CFA"/>
    <w:lvl w:ilvl="0" w:tplc="3DCACB34">
      <w:start w:val="1"/>
      <w:numFmt w:val="decimal"/>
      <w:lvlText w:val="%1)"/>
      <w:lvlJc w:val="left"/>
      <w:pPr>
        <w:ind w:left="840" w:hanging="360"/>
      </w:pPr>
      <w:rPr>
        <w:i/>
        <w:color w:val="365F91"/>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 w15:restartNumberingAfterBreak="0">
    <w:nsid w:val="062158A9"/>
    <w:multiLevelType w:val="hybridMultilevel"/>
    <w:tmpl w:val="09BA8C4A"/>
    <w:lvl w:ilvl="0" w:tplc="EE68C8A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D5AB7"/>
    <w:multiLevelType w:val="hybridMultilevel"/>
    <w:tmpl w:val="9CFCD4F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12975678"/>
    <w:multiLevelType w:val="hybridMultilevel"/>
    <w:tmpl w:val="DF3A3B0E"/>
    <w:lvl w:ilvl="0" w:tplc="E634E4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01CBC">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21FF6">
      <w:start w:val="1"/>
      <w:numFmt w:val="bullet"/>
      <w:lvlText w:val="▪"/>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82748">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0A922">
      <w:start w:val="1"/>
      <w:numFmt w:val="bullet"/>
      <w:lvlText w:val="o"/>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AF444">
      <w:start w:val="1"/>
      <w:numFmt w:val="bullet"/>
      <w:lvlText w:val="▪"/>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AB6C6">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89D70">
      <w:start w:val="1"/>
      <w:numFmt w:val="bullet"/>
      <w:lvlText w:val="o"/>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6667A">
      <w:start w:val="1"/>
      <w:numFmt w:val="bullet"/>
      <w:lvlText w:val="▪"/>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2C65A0"/>
    <w:multiLevelType w:val="hybridMultilevel"/>
    <w:tmpl w:val="11AC726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8E0939"/>
    <w:multiLevelType w:val="hybridMultilevel"/>
    <w:tmpl w:val="0B9A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E79BC"/>
    <w:multiLevelType w:val="hybridMultilevel"/>
    <w:tmpl w:val="CCC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20A04"/>
    <w:multiLevelType w:val="hybridMultilevel"/>
    <w:tmpl w:val="B8B6C9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8" w15:restartNumberingAfterBreak="0">
    <w:nsid w:val="3FF56400"/>
    <w:multiLevelType w:val="hybridMultilevel"/>
    <w:tmpl w:val="F5AEBA1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41453638"/>
    <w:multiLevelType w:val="hybridMultilevel"/>
    <w:tmpl w:val="78B4EE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45C55F5D"/>
    <w:multiLevelType w:val="hybridMultilevel"/>
    <w:tmpl w:val="88942E32"/>
    <w:lvl w:ilvl="0" w:tplc="AF64465E">
      <w:start w:val="45"/>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4E324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8EB1C">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0A080">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ED86C">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A3172">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8DD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A5D8E">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8EDC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5B655A"/>
    <w:multiLevelType w:val="hybridMultilevel"/>
    <w:tmpl w:val="09DC96E8"/>
    <w:lvl w:ilvl="0" w:tplc="B3821B02">
      <w:start w:val="1"/>
      <w:numFmt w:val="decimal"/>
      <w:lvlText w:val="%1."/>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0E553C">
      <w:start w:val="1"/>
      <w:numFmt w:val="lowerLetter"/>
      <w:lvlText w:val="%2"/>
      <w:lvlJc w:val="left"/>
      <w:pPr>
        <w:ind w:left="1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80AA88">
      <w:start w:val="1"/>
      <w:numFmt w:val="lowerRoman"/>
      <w:lvlText w:val="%3"/>
      <w:lvlJc w:val="left"/>
      <w:pPr>
        <w:ind w:left="2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2C76CE">
      <w:start w:val="1"/>
      <w:numFmt w:val="decimal"/>
      <w:lvlText w:val="%4"/>
      <w:lvlJc w:val="left"/>
      <w:pPr>
        <w:ind w:left="2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B8F17C">
      <w:start w:val="1"/>
      <w:numFmt w:val="lowerLetter"/>
      <w:lvlText w:val="%5"/>
      <w:lvlJc w:val="left"/>
      <w:pPr>
        <w:ind w:left="3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3C54D8">
      <w:start w:val="1"/>
      <w:numFmt w:val="lowerRoman"/>
      <w:lvlText w:val="%6"/>
      <w:lvlJc w:val="left"/>
      <w:pPr>
        <w:ind w:left="4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EE4654">
      <w:start w:val="1"/>
      <w:numFmt w:val="decimal"/>
      <w:lvlText w:val="%7"/>
      <w:lvlJc w:val="left"/>
      <w:pPr>
        <w:ind w:left="5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905F1C">
      <w:start w:val="1"/>
      <w:numFmt w:val="lowerLetter"/>
      <w:lvlText w:val="%8"/>
      <w:lvlJc w:val="left"/>
      <w:pPr>
        <w:ind w:left="5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308ABE">
      <w:start w:val="1"/>
      <w:numFmt w:val="lowerRoman"/>
      <w:lvlText w:val="%9"/>
      <w:lvlJc w:val="left"/>
      <w:pPr>
        <w:ind w:left="6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5075446"/>
    <w:multiLevelType w:val="hybridMultilevel"/>
    <w:tmpl w:val="967470CA"/>
    <w:lvl w:ilvl="0" w:tplc="6BECAC90">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82EE96">
      <w:start w:val="1"/>
      <w:numFmt w:val="bullet"/>
      <w:lvlText w:val="o"/>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E6630C">
      <w:start w:val="1"/>
      <w:numFmt w:val="bullet"/>
      <w:lvlText w:val="▪"/>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ECF9FC">
      <w:start w:val="1"/>
      <w:numFmt w:val="bullet"/>
      <w:lvlText w:val="•"/>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C63820">
      <w:start w:val="1"/>
      <w:numFmt w:val="bullet"/>
      <w:lvlText w:val="o"/>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18853E">
      <w:start w:val="1"/>
      <w:numFmt w:val="bullet"/>
      <w:lvlText w:val="▪"/>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129F2A">
      <w:start w:val="1"/>
      <w:numFmt w:val="bullet"/>
      <w:lvlText w:val="•"/>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6CB0A8">
      <w:start w:val="1"/>
      <w:numFmt w:val="bullet"/>
      <w:lvlText w:val="o"/>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7ACF20">
      <w:start w:val="1"/>
      <w:numFmt w:val="bullet"/>
      <w:lvlText w:val="▪"/>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7"/>
  </w:num>
  <w:num w:numId="7">
    <w:abstractNumId w:val="4"/>
  </w:num>
  <w:num w:numId="8">
    <w:abstractNumId w:val="3"/>
  </w:num>
  <w:num w:numId="9">
    <w:abstractNumId w:val="12"/>
  </w:num>
  <w:num w:numId="10">
    <w:abstractNumId w:val="10"/>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64"/>
    <w:rsid w:val="0000064B"/>
    <w:rsid w:val="00004B97"/>
    <w:rsid w:val="00006C53"/>
    <w:rsid w:val="000108C6"/>
    <w:rsid w:val="00014BCB"/>
    <w:rsid w:val="0001776C"/>
    <w:rsid w:val="0001780B"/>
    <w:rsid w:val="00017CD9"/>
    <w:rsid w:val="00023070"/>
    <w:rsid w:val="00024032"/>
    <w:rsid w:val="000241E0"/>
    <w:rsid w:val="000243F0"/>
    <w:rsid w:val="00026A97"/>
    <w:rsid w:val="00030624"/>
    <w:rsid w:val="00033F1E"/>
    <w:rsid w:val="0004045F"/>
    <w:rsid w:val="0004197C"/>
    <w:rsid w:val="00042258"/>
    <w:rsid w:val="00042C06"/>
    <w:rsid w:val="00043314"/>
    <w:rsid w:val="00044C84"/>
    <w:rsid w:val="00044E2C"/>
    <w:rsid w:val="00045D39"/>
    <w:rsid w:val="0005013A"/>
    <w:rsid w:val="00050CE2"/>
    <w:rsid w:val="00053C7E"/>
    <w:rsid w:val="00053E9F"/>
    <w:rsid w:val="0005418E"/>
    <w:rsid w:val="000554CA"/>
    <w:rsid w:val="00055F54"/>
    <w:rsid w:val="0005668C"/>
    <w:rsid w:val="000572BE"/>
    <w:rsid w:val="0005747D"/>
    <w:rsid w:val="000578DF"/>
    <w:rsid w:val="00057B71"/>
    <w:rsid w:val="00060E1B"/>
    <w:rsid w:val="000616A1"/>
    <w:rsid w:val="0006219E"/>
    <w:rsid w:val="00063565"/>
    <w:rsid w:val="00063A6A"/>
    <w:rsid w:val="00066B32"/>
    <w:rsid w:val="00070123"/>
    <w:rsid w:val="0007162E"/>
    <w:rsid w:val="0007392E"/>
    <w:rsid w:val="00073D3A"/>
    <w:rsid w:val="00075BDA"/>
    <w:rsid w:val="00075E7B"/>
    <w:rsid w:val="00077239"/>
    <w:rsid w:val="0008142B"/>
    <w:rsid w:val="000817B2"/>
    <w:rsid w:val="00082228"/>
    <w:rsid w:val="00083502"/>
    <w:rsid w:val="000846F1"/>
    <w:rsid w:val="00085D93"/>
    <w:rsid w:val="00086203"/>
    <w:rsid w:val="00087A1C"/>
    <w:rsid w:val="0009002D"/>
    <w:rsid w:val="000920AC"/>
    <w:rsid w:val="00092FFF"/>
    <w:rsid w:val="00093CDB"/>
    <w:rsid w:val="00093DC0"/>
    <w:rsid w:val="000956E5"/>
    <w:rsid w:val="000A2C28"/>
    <w:rsid w:val="000A3890"/>
    <w:rsid w:val="000A3B0A"/>
    <w:rsid w:val="000A4D96"/>
    <w:rsid w:val="000A5B91"/>
    <w:rsid w:val="000A78EE"/>
    <w:rsid w:val="000B142B"/>
    <w:rsid w:val="000B28A7"/>
    <w:rsid w:val="000B2943"/>
    <w:rsid w:val="000C61ED"/>
    <w:rsid w:val="000C770F"/>
    <w:rsid w:val="000C7807"/>
    <w:rsid w:val="000D1F60"/>
    <w:rsid w:val="000D3489"/>
    <w:rsid w:val="000D40B6"/>
    <w:rsid w:val="000D439F"/>
    <w:rsid w:val="000D4905"/>
    <w:rsid w:val="000D505E"/>
    <w:rsid w:val="000D5487"/>
    <w:rsid w:val="000D5909"/>
    <w:rsid w:val="000D5F7A"/>
    <w:rsid w:val="000E0A4B"/>
    <w:rsid w:val="000E0EDD"/>
    <w:rsid w:val="000E157D"/>
    <w:rsid w:val="000E2DD5"/>
    <w:rsid w:val="000E4938"/>
    <w:rsid w:val="000E5275"/>
    <w:rsid w:val="000E66C5"/>
    <w:rsid w:val="000E67EC"/>
    <w:rsid w:val="000F280D"/>
    <w:rsid w:val="000F2F93"/>
    <w:rsid w:val="000F3327"/>
    <w:rsid w:val="000F3EC9"/>
    <w:rsid w:val="000F4148"/>
    <w:rsid w:val="000F5A80"/>
    <w:rsid w:val="000F68A5"/>
    <w:rsid w:val="000F7D9C"/>
    <w:rsid w:val="00100B15"/>
    <w:rsid w:val="001015EF"/>
    <w:rsid w:val="001027F4"/>
    <w:rsid w:val="00103859"/>
    <w:rsid w:val="001038BE"/>
    <w:rsid w:val="00103AA1"/>
    <w:rsid w:val="00104195"/>
    <w:rsid w:val="001050B2"/>
    <w:rsid w:val="001059A5"/>
    <w:rsid w:val="00107E2D"/>
    <w:rsid w:val="00107FD5"/>
    <w:rsid w:val="00111089"/>
    <w:rsid w:val="0011132F"/>
    <w:rsid w:val="001151C8"/>
    <w:rsid w:val="00116C1B"/>
    <w:rsid w:val="001179EC"/>
    <w:rsid w:val="00121602"/>
    <w:rsid w:val="00122CA4"/>
    <w:rsid w:val="00124915"/>
    <w:rsid w:val="0012541A"/>
    <w:rsid w:val="001267CF"/>
    <w:rsid w:val="00126C1C"/>
    <w:rsid w:val="001270D4"/>
    <w:rsid w:val="0013134B"/>
    <w:rsid w:val="00134E8D"/>
    <w:rsid w:val="00137145"/>
    <w:rsid w:val="00137387"/>
    <w:rsid w:val="0014136C"/>
    <w:rsid w:val="00143703"/>
    <w:rsid w:val="001454C6"/>
    <w:rsid w:val="001455B7"/>
    <w:rsid w:val="00145D81"/>
    <w:rsid w:val="001469C5"/>
    <w:rsid w:val="00151245"/>
    <w:rsid w:val="001527BE"/>
    <w:rsid w:val="0015528E"/>
    <w:rsid w:val="00155F4D"/>
    <w:rsid w:val="00156561"/>
    <w:rsid w:val="00157129"/>
    <w:rsid w:val="00157AFE"/>
    <w:rsid w:val="00157D21"/>
    <w:rsid w:val="00157E17"/>
    <w:rsid w:val="001605B5"/>
    <w:rsid w:val="00161EA7"/>
    <w:rsid w:val="00164952"/>
    <w:rsid w:val="001656D6"/>
    <w:rsid w:val="00166639"/>
    <w:rsid w:val="00166F8E"/>
    <w:rsid w:val="00171E14"/>
    <w:rsid w:val="001731B4"/>
    <w:rsid w:val="001734C1"/>
    <w:rsid w:val="00173961"/>
    <w:rsid w:val="001747A5"/>
    <w:rsid w:val="00184707"/>
    <w:rsid w:val="00184B8A"/>
    <w:rsid w:val="00185684"/>
    <w:rsid w:val="001878C6"/>
    <w:rsid w:val="001922D2"/>
    <w:rsid w:val="00192633"/>
    <w:rsid w:val="00192CCD"/>
    <w:rsid w:val="00194B91"/>
    <w:rsid w:val="00194E4E"/>
    <w:rsid w:val="00195042"/>
    <w:rsid w:val="001951BF"/>
    <w:rsid w:val="00195BF6"/>
    <w:rsid w:val="00196992"/>
    <w:rsid w:val="001979C3"/>
    <w:rsid w:val="00197ED2"/>
    <w:rsid w:val="001A034E"/>
    <w:rsid w:val="001A1D25"/>
    <w:rsid w:val="001A2AFB"/>
    <w:rsid w:val="001A38FE"/>
    <w:rsid w:val="001A4511"/>
    <w:rsid w:val="001A61C3"/>
    <w:rsid w:val="001B0844"/>
    <w:rsid w:val="001B12AE"/>
    <w:rsid w:val="001B1BA1"/>
    <w:rsid w:val="001B1DBA"/>
    <w:rsid w:val="001B3769"/>
    <w:rsid w:val="001B49AB"/>
    <w:rsid w:val="001B5172"/>
    <w:rsid w:val="001B7099"/>
    <w:rsid w:val="001B7184"/>
    <w:rsid w:val="001C0085"/>
    <w:rsid w:val="001C1B23"/>
    <w:rsid w:val="001C28F8"/>
    <w:rsid w:val="001C325B"/>
    <w:rsid w:val="001C5F60"/>
    <w:rsid w:val="001C677E"/>
    <w:rsid w:val="001C7227"/>
    <w:rsid w:val="001C7944"/>
    <w:rsid w:val="001D0461"/>
    <w:rsid w:val="001D0996"/>
    <w:rsid w:val="001D1D29"/>
    <w:rsid w:val="001D39B5"/>
    <w:rsid w:val="001D6577"/>
    <w:rsid w:val="001D70B9"/>
    <w:rsid w:val="001E0A24"/>
    <w:rsid w:val="001E0C68"/>
    <w:rsid w:val="001E0E8E"/>
    <w:rsid w:val="001E14AB"/>
    <w:rsid w:val="001E2822"/>
    <w:rsid w:val="001E4B57"/>
    <w:rsid w:val="001E5110"/>
    <w:rsid w:val="001E640B"/>
    <w:rsid w:val="001F1475"/>
    <w:rsid w:val="001F1DB9"/>
    <w:rsid w:val="001F2640"/>
    <w:rsid w:val="001F6115"/>
    <w:rsid w:val="001F62A5"/>
    <w:rsid w:val="001F6A76"/>
    <w:rsid w:val="001F6D4A"/>
    <w:rsid w:val="001F7982"/>
    <w:rsid w:val="00201B0F"/>
    <w:rsid w:val="0020354B"/>
    <w:rsid w:val="00203A94"/>
    <w:rsid w:val="002051E7"/>
    <w:rsid w:val="00205F33"/>
    <w:rsid w:val="00210F0B"/>
    <w:rsid w:val="00210F8C"/>
    <w:rsid w:val="00212AC1"/>
    <w:rsid w:val="002143B9"/>
    <w:rsid w:val="00215B0B"/>
    <w:rsid w:val="00216122"/>
    <w:rsid w:val="002166DA"/>
    <w:rsid w:val="00221585"/>
    <w:rsid w:val="002215CD"/>
    <w:rsid w:val="0022195E"/>
    <w:rsid w:val="00223893"/>
    <w:rsid w:val="0022403C"/>
    <w:rsid w:val="00225711"/>
    <w:rsid w:val="0022593B"/>
    <w:rsid w:val="00230109"/>
    <w:rsid w:val="002310B8"/>
    <w:rsid w:val="0023305A"/>
    <w:rsid w:val="00233DAB"/>
    <w:rsid w:val="002347B1"/>
    <w:rsid w:val="00235F62"/>
    <w:rsid w:val="00237709"/>
    <w:rsid w:val="0023776C"/>
    <w:rsid w:val="00237E11"/>
    <w:rsid w:val="00241EE8"/>
    <w:rsid w:val="0024282F"/>
    <w:rsid w:val="0024364A"/>
    <w:rsid w:val="002448D6"/>
    <w:rsid w:val="00247A20"/>
    <w:rsid w:val="00247F6C"/>
    <w:rsid w:val="0025312E"/>
    <w:rsid w:val="002553DE"/>
    <w:rsid w:val="00256659"/>
    <w:rsid w:val="00261582"/>
    <w:rsid w:val="00262356"/>
    <w:rsid w:val="0026325D"/>
    <w:rsid w:val="00264D72"/>
    <w:rsid w:val="00264EBC"/>
    <w:rsid w:val="00270C0A"/>
    <w:rsid w:val="00271E42"/>
    <w:rsid w:val="00272EE8"/>
    <w:rsid w:val="00274706"/>
    <w:rsid w:val="00274990"/>
    <w:rsid w:val="00275214"/>
    <w:rsid w:val="002759FA"/>
    <w:rsid w:val="00276C9F"/>
    <w:rsid w:val="002776C9"/>
    <w:rsid w:val="00277C2F"/>
    <w:rsid w:val="002804E8"/>
    <w:rsid w:val="00282137"/>
    <w:rsid w:val="00282A07"/>
    <w:rsid w:val="00282AC8"/>
    <w:rsid w:val="00282B6A"/>
    <w:rsid w:val="00283891"/>
    <w:rsid w:val="002845C1"/>
    <w:rsid w:val="002847EA"/>
    <w:rsid w:val="00285401"/>
    <w:rsid w:val="002867DD"/>
    <w:rsid w:val="00286CDC"/>
    <w:rsid w:val="002871B0"/>
    <w:rsid w:val="00290B98"/>
    <w:rsid w:val="00293B41"/>
    <w:rsid w:val="00293BF3"/>
    <w:rsid w:val="0029551B"/>
    <w:rsid w:val="002965FB"/>
    <w:rsid w:val="00296886"/>
    <w:rsid w:val="002970D8"/>
    <w:rsid w:val="002A0628"/>
    <w:rsid w:val="002A0780"/>
    <w:rsid w:val="002A2410"/>
    <w:rsid w:val="002A2F76"/>
    <w:rsid w:val="002A4F33"/>
    <w:rsid w:val="002A6F58"/>
    <w:rsid w:val="002A7E2A"/>
    <w:rsid w:val="002B11AC"/>
    <w:rsid w:val="002B1A77"/>
    <w:rsid w:val="002B2ADB"/>
    <w:rsid w:val="002B3828"/>
    <w:rsid w:val="002B66E9"/>
    <w:rsid w:val="002B700C"/>
    <w:rsid w:val="002C0828"/>
    <w:rsid w:val="002C2928"/>
    <w:rsid w:val="002D0EC1"/>
    <w:rsid w:val="002D2476"/>
    <w:rsid w:val="002D2817"/>
    <w:rsid w:val="002D504C"/>
    <w:rsid w:val="002D5BAD"/>
    <w:rsid w:val="002D64B5"/>
    <w:rsid w:val="002D74A9"/>
    <w:rsid w:val="002E4D71"/>
    <w:rsid w:val="002F109B"/>
    <w:rsid w:val="002F1293"/>
    <w:rsid w:val="002F149B"/>
    <w:rsid w:val="002F62DE"/>
    <w:rsid w:val="002F6868"/>
    <w:rsid w:val="002F6C60"/>
    <w:rsid w:val="002F7014"/>
    <w:rsid w:val="00300DCB"/>
    <w:rsid w:val="00303D6D"/>
    <w:rsid w:val="003040B7"/>
    <w:rsid w:val="003075D4"/>
    <w:rsid w:val="00307E0E"/>
    <w:rsid w:val="00313A86"/>
    <w:rsid w:val="003168A2"/>
    <w:rsid w:val="00316AF8"/>
    <w:rsid w:val="003205AC"/>
    <w:rsid w:val="00321785"/>
    <w:rsid w:val="003238C2"/>
    <w:rsid w:val="00325B41"/>
    <w:rsid w:val="00326098"/>
    <w:rsid w:val="00326589"/>
    <w:rsid w:val="00326AAC"/>
    <w:rsid w:val="003312A0"/>
    <w:rsid w:val="003370B1"/>
    <w:rsid w:val="00342300"/>
    <w:rsid w:val="003437CC"/>
    <w:rsid w:val="0035078E"/>
    <w:rsid w:val="00350874"/>
    <w:rsid w:val="00350E31"/>
    <w:rsid w:val="00351436"/>
    <w:rsid w:val="003515E9"/>
    <w:rsid w:val="00351843"/>
    <w:rsid w:val="003522D5"/>
    <w:rsid w:val="00355E11"/>
    <w:rsid w:val="00356413"/>
    <w:rsid w:val="00356A74"/>
    <w:rsid w:val="00356E1F"/>
    <w:rsid w:val="00360803"/>
    <w:rsid w:val="00362C19"/>
    <w:rsid w:val="0036340C"/>
    <w:rsid w:val="003648E7"/>
    <w:rsid w:val="00366F78"/>
    <w:rsid w:val="00367E24"/>
    <w:rsid w:val="003716B2"/>
    <w:rsid w:val="0037321E"/>
    <w:rsid w:val="00374DB8"/>
    <w:rsid w:val="00381EA0"/>
    <w:rsid w:val="00383A32"/>
    <w:rsid w:val="0038756B"/>
    <w:rsid w:val="003905F0"/>
    <w:rsid w:val="003970E4"/>
    <w:rsid w:val="003A2645"/>
    <w:rsid w:val="003A31B6"/>
    <w:rsid w:val="003A34B0"/>
    <w:rsid w:val="003B02BC"/>
    <w:rsid w:val="003B0805"/>
    <w:rsid w:val="003B0806"/>
    <w:rsid w:val="003B08FE"/>
    <w:rsid w:val="003B6733"/>
    <w:rsid w:val="003B6E91"/>
    <w:rsid w:val="003C2349"/>
    <w:rsid w:val="003C3E1F"/>
    <w:rsid w:val="003C3FA6"/>
    <w:rsid w:val="003D03B3"/>
    <w:rsid w:val="003D4C44"/>
    <w:rsid w:val="003D71C7"/>
    <w:rsid w:val="003D7780"/>
    <w:rsid w:val="003E0869"/>
    <w:rsid w:val="003E0B55"/>
    <w:rsid w:val="003E0ECF"/>
    <w:rsid w:val="003E1388"/>
    <w:rsid w:val="003E3211"/>
    <w:rsid w:val="003E3685"/>
    <w:rsid w:val="003E637E"/>
    <w:rsid w:val="003E7A36"/>
    <w:rsid w:val="003F0703"/>
    <w:rsid w:val="003F2D67"/>
    <w:rsid w:val="003F31D0"/>
    <w:rsid w:val="003F3EDC"/>
    <w:rsid w:val="003F4618"/>
    <w:rsid w:val="003F4F00"/>
    <w:rsid w:val="003F5AA9"/>
    <w:rsid w:val="003F5DEC"/>
    <w:rsid w:val="003F5FE8"/>
    <w:rsid w:val="003F633F"/>
    <w:rsid w:val="003F71AF"/>
    <w:rsid w:val="003F7343"/>
    <w:rsid w:val="00400D24"/>
    <w:rsid w:val="00400FE0"/>
    <w:rsid w:val="00402347"/>
    <w:rsid w:val="00402BB1"/>
    <w:rsid w:val="00403803"/>
    <w:rsid w:val="004068A2"/>
    <w:rsid w:val="00407397"/>
    <w:rsid w:val="0041281E"/>
    <w:rsid w:val="00413ABF"/>
    <w:rsid w:val="0041468F"/>
    <w:rsid w:val="004147DB"/>
    <w:rsid w:val="00416E18"/>
    <w:rsid w:val="0041701B"/>
    <w:rsid w:val="0041730F"/>
    <w:rsid w:val="00421EA5"/>
    <w:rsid w:val="00422968"/>
    <w:rsid w:val="0042329F"/>
    <w:rsid w:val="004237CD"/>
    <w:rsid w:val="0042482B"/>
    <w:rsid w:val="00424858"/>
    <w:rsid w:val="0042516B"/>
    <w:rsid w:val="00427186"/>
    <w:rsid w:val="0042771A"/>
    <w:rsid w:val="00430225"/>
    <w:rsid w:val="00430607"/>
    <w:rsid w:val="004307AC"/>
    <w:rsid w:val="00430E8A"/>
    <w:rsid w:val="00431116"/>
    <w:rsid w:val="004320C7"/>
    <w:rsid w:val="00432B8F"/>
    <w:rsid w:val="0043348B"/>
    <w:rsid w:val="00434893"/>
    <w:rsid w:val="00445683"/>
    <w:rsid w:val="00446778"/>
    <w:rsid w:val="00447622"/>
    <w:rsid w:val="00450609"/>
    <w:rsid w:val="004517FF"/>
    <w:rsid w:val="00452751"/>
    <w:rsid w:val="00452C3D"/>
    <w:rsid w:val="00454C85"/>
    <w:rsid w:val="004562E7"/>
    <w:rsid w:val="00457DCF"/>
    <w:rsid w:val="0046013F"/>
    <w:rsid w:val="0046248A"/>
    <w:rsid w:val="00464222"/>
    <w:rsid w:val="00464EC6"/>
    <w:rsid w:val="00465DEF"/>
    <w:rsid w:val="00466418"/>
    <w:rsid w:val="00471F8C"/>
    <w:rsid w:val="00473D59"/>
    <w:rsid w:val="00475191"/>
    <w:rsid w:val="00475E28"/>
    <w:rsid w:val="00476184"/>
    <w:rsid w:val="004767AD"/>
    <w:rsid w:val="00476BBE"/>
    <w:rsid w:val="00481626"/>
    <w:rsid w:val="00487958"/>
    <w:rsid w:val="0049162A"/>
    <w:rsid w:val="00492C55"/>
    <w:rsid w:val="00492EDE"/>
    <w:rsid w:val="0049410B"/>
    <w:rsid w:val="00494FC7"/>
    <w:rsid w:val="0049566C"/>
    <w:rsid w:val="00495B9C"/>
    <w:rsid w:val="0049765F"/>
    <w:rsid w:val="004979F8"/>
    <w:rsid w:val="004A07E0"/>
    <w:rsid w:val="004A0E20"/>
    <w:rsid w:val="004A1236"/>
    <w:rsid w:val="004A1466"/>
    <w:rsid w:val="004A3A87"/>
    <w:rsid w:val="004A5F80"/>
    <w:rsid w:val="004A6223"/>
    <w:rsid w:val="004A7ACA"/>
    <w:rsid w:val="004B097F"/>
    <w:rsid w:val="004B0E12"/>
    <w:rsid w:val="004B41D9"/>
    <w:rsid w:val="004B53D9"/>
    <w:rsid w:val="004B5CD1"/>
    <w:rsid w:val="004B5FB3"/>
    <w:rsid w:val="004B7D49"/>
    <w:rsid w:val="004C012D"/>
    <w:rsid w:val="004C1723"/>
    <w:rsid w:val="004C4230"/>
    <w:rsid w:val="004C686C"/>
    <w:rsid w:val="004D01C3"/>
    <w:rsid w:val="004D0842"/>
    <w:rsid w:val="004D3E00"/>
    <w:rsid w:val="004D6206"/>
    <w:rsid w:val="004D6BFC"/>
    <w:rsid w:val="004D6FD0"/>
    <w:rsid w:val="004E24A6"/>
    <w:rsid w:val="004E3048"/>
    <w:rsid w:val="004E307D"/>
    <w:rsid w:val="004E5DF2"/>
    <w:rsid w:val="004E5FD8"/>
    <w:rsid w:val="004E708D"/>
    <w:rsid w:val="004E77C8"/>
    <w:rsid w:val="004F03FC"/>
    <w:rsid w:val="004F0A3F"/>
    <w:rsid w:val="004F0C50"/>
    <w:rsid w:val="004F447B"/>
    <w:rsid w:val="004F4E0A"/>
    <w:rsid w:val="004F713E"/>
    <w:rsid w:val="005008CB"/>
    <w:rsid w:val="0050314C"/>
    <w:rsid w:val="005036F6"/>
    <w:rsid w:val="00504067"/>
    <w:rsid w:val="00504D95"/>
    <w:rsid w:val="0051040F"/>
    <w:rsid w:val="00510FAC"/>
    <w:rsid w:val="00512F27"/>
    <w:rsid w:val="00513AB6"/>
    <w:rsid w:val="00517692"/>
    <w:rsid w:val="00520079"/>
    <w:rsid w:val="0052017A"/>
    <w:rsid w:val="0052167B"/>
    <w:rsid w:val="00522766"/>
    <w:rsid w:val="00533564"/>
    <w:rsid w:val="00534ABF"/>
    <w:rsid w:val="00534DC4"/>
    <w:rsid w:val="0053612F"/>
    <w:rsid w:val="00537765"/>
    <w:rsid w:val="005378FB"/>
    <w:rsid w:val="0054022C"/>
    <w:rsid w:val="00541753"/>
    <w:rsid w:val="00541EB2"/>
    <w:rsid w:val="00543101"/>
    <w:rsid w:val="00544085"/>
    <w:rsid w:val="00544CA0"/>
    <w:rsid w:val="005451B5"/>
    <w:rsid w:val="005465CB"/>
    <w:rsid w:val="00550ED1"/>
    <w:rsid w:val="0055366C"/>
    <w:rsid w:val="00554985"/>
    <w:rsid w:val="00556223"/>
    <w:rsid w:val="005600DC"/>
    <w:rsid w:val="00561331"/>
    <w:rsid w:val="005621A3"/>
    <w:rsid w:val="00562651"/>
    <w:rsid w:val="00563016"/>
    <w:rsid w:val="0056491E"/>
    <w:rsid w:val="00564961"/>
    <w:rsid w:val="00565CC1"/>
    <w:rsid w:val="00566CD9"/>
    <w:rsid w:val="00566DD1"/>
    <w:rsid w:val="0057019A"/>
    <w:rsid w:val="005721F0"/>
    <w:rsid w:val="00572222"/>
    <w:rsid w:val="0057303B"/>
    <w:rsid w:val="00574CD2"/>
    <w:rsid w:val="00576CFC"/>
    <w:rsid w:val="005804FE"/>
    <w:rsid w:val="00582BB4"/>
    <w:rsid w:val="005832A7"/>
    <w:rsid w:val="00584481"/>
    <w:rsid w:val="005848DA"/>
    <w:rsid w:val="00591043"/>
    <w:rsid w:val="00592F5A"/>
    <w:rsid w:val="00593220"/>
    <w:rsid w:val="005A3F7C"/>
    <w:rsid w:val="005A5B61"/>
    <w:rsid w:val="005A6E74"/>
    <w:rsid w:val="005B09FA"/>
    <w:rsid w:val="005B0B8B"/>
    <w:rsid w:val="005B1E3F"/>
    <w:rsid w:val="005B30AF"/>
    <w:rsid w:val="005B3326"/>
    <w:rsid w:val="005B3452"/>
    <w:rsid w:val="005B34E2"/>
    <w:rsid w:val="005B6E8F"/>
    <w:rsid w:val="005C0C93"/>
    <w:rsid w:val="005C12D3"/>
    <w:rsid w:val="005C166B"/>
    <w:rsid w:val="005C35EA"/>
    <w:rsid w:val="005C4114"/>
    <w:rsid w:val="005C5294"/>
    <w:rsid w:val="005C6B2B"/>
    <w:rsid w:val="005C76B1"/>
    <w:rsid w:val="005D02FA"/>
    <w:rsid w:val="005D066E"/>
    <w:rsid w:val="005D303A"/>
    <w:rsid w:val="005D4CA1"/>
    <w:rsid w:val="005D5009"/>
    <w:rsid w:val="005D7025"/>
    <w:rsid w:val="005D7149"/>
    <w:rsid w:val="005E1AF3"/>
    <w:rsid w:val="005E1DB1"/>
    <w:rsid w:val="005E368A"/>
    <w:rsid w:val="005E382A"/>
    <w:rsid w:val="005E5209"/>
    <w:rsid w:val="005E57B1"/>
    <w:rsid w:val="005E57EF"/>
    <w:rsid w:val="005F1C90"/>
    <w:rsid w:val="005F363F"/>
    <w:rsid w:val="005F429D"/>
    <w:rsid w:val="005F4C25"/>
    <w:rsid w:val="005F5897"/>
    <w:rsid w:val="005F680C"/>
    <w:rsid w:val="005F6C52"/>
    <w:rsid w:val="006010AA"/>
    <w:rsid w:val="00601297"/>
    <w:rsid w:val="00601742"/>
    <w:rsid w:val="00606605"/>
    <w:rsid w:val="00606B1E"/>
    <w:rsid w:val="006136F0"/>
    <w:rsid w:val="006141E1"/>
    <w:rsid w:val="00615E50"/>
    <w:rsid w:val="00621592"/>
    <w:rsid w:val="00625E2A"/>
    <w:rsid w:val="00626538"/>
    <w:rsid w:val="00627AF1"/>
    <w:rsid w:val="00630172"/>
    <w:rsid w:val="00631908"/>
    <w:rsid w:val="00632212"/>
    <w:rsid w:val="00632473"/>
    <w:rsid w:val="00634955"/>
    <w:rsid w:val="00634B74"/>
    <w:rsid w:val="00636A9F"/>
    <w:rsid w:val="006423B5"/>
    <w:rsid w:val="006425E9"/>
    <w:rsid w:val="00647209"/>
    <w:rsid w:val="006500EA"/>
    <w:rsid w:val="00660C6A"/>
    <w:rsid w:val="00665C01"/>
    <w:rsid w:val="00665F35"/>
    <w:rsid w:val="00667A33"/>
    <w:rsid w:val="00670BDF"/>
    <w:rsid w:val="00670D4D"/>
    <w:rsid w:val="00670E01"/>
    <w:rsid w:val="006741B0"/>
    <w:rsid w:val="0067554F"/>
    <w:rsid w:val="00680128"/>
    <w:rsid w:val="00680DA1"/>
    <w:rsid w:val="006830CC"/>
    <w:rsid w:val="00685F33"/>
    <w:rsid w:val="006870D2"/>
    <w:rsid w:val="00687A95"/>
    <w:rsid w:val="00690D2D"/>
    <w:rsid w:val="006911D8"/>
    <w:rsid w:val="00692FD0"/>
    <w:rsid w:val="006931E3"/>
    <w:rsid w:val="00695378"/>
    <w:rsid w:val="00695C24"/>
    <w:rsid w:val="006961E9"/>
    <w:rsid w:val="00696F7A"/>
    <w:rsid w:val="006A1EC1"/>
    <w:rsid w:val="006A317A"/>
    <w:rsid w:val="006A69E7"/>
    <w:rsid w:val="006A7DFA"/>
    <w:rsid w:val="006B0068"/>
    <w:rsid w:val="006B0E4A"/>
    <w:rsid w:val="006B16E2"/>
    <w:rsid w:val="006B2D18"/>
    <w:rsid w:val="006B5D0D"/>
    <w:rsid w:val="006B6303"/>
    <w:rsid w:val="006B6922"/>
    <w:rsid w:val="006B6A4A"/>
    <w:rsid w:val="006B78AB"/>
    <w:rsid w:val="006C0A6C"/>
    <w:rsid w:val="006C0F1E"/>
    <w:rsid w:val="006C1E52"/>
    <w:rsid w:val="006C3091"/>
    <w:rsid w:val="006C340A"/>
    <w:rsid w:val="006C3566"/>
    <w:rsid w:val="006C3F41"/>
    <w:rsid w:val="006C4A5B"/>
    <w:rsid w:val="006C6342"/>
    <w:rsid w:val="006C651D"/>
    <w:rsid w:val="006C71CA"/>
    <w:rsid w:val="006C7852"/>
    <w:rsid w:val="006D2DFD"/>
    <w:rsid w:val="006D3907"/>
    <w:rsid w:val="006E0BEC"/>
    <w:rsid w:val="006E213A"/>
    <w:rsid w:val="006E62E2"/>
    <w:rsid w:val="006E7675"/>
    <w:rsid w:val="006E7752"/>
    <w:rsid w:val="006F244F"/>
    <w:rsid w:val="006F2B2D"/>
    <w:rsid w:val="006F3090"/>
    <w:rsid w:val="006F453F"/>
    <w:rsid w:val="006F5E91"/>
    <w:rsid w:val="006F6A35"/>
    <w:rsid w:val="007001F5"/>
    <w:rsid w:val="00702C24"/>
    <w:rsid w:val="00703708"/>
    <w:rsid w:val="00710C81"/>
    <w:rsid w:val="007143B1"/>
    <w:rsid w:val="007152B4"/>
    <w:rsid w:val="00715944"/>
    <w:rsid w:val="007159ED"/>
    <w:rsid w:val="0071693A"/>
    <w:rsid w:val="007175BE"/>
    <w:rsid w:val="00717B80"/>
    <w:rsid w:val="00721C7C"/>
    <w:rsid w:val="00723D00"/>
    <w:rsid w:val="00726DC9"/>
    <w:rsid w:val="007270CF"/>
    <w:rsid w:val="007279DF"/>
    <w:rsid w:val="007308AE"/>
    <w:rsid w:val="0073370E"/>
    <w:rsid w:val="0073640B"/>
    <w:rsid w:val="00740DF3"/>
    <w:rsid w:val="0074333E"/>
    <w:rsid w:val="00744D6B"/>
    <w:rsid w:val="00745DD2"/>
    <w:rsid w:val="00746643"/>
    <w:rsid w:val="007474B3"/>
    <w:rsid w:val="00747E0E"/>
    <w:rsid w:val="00752D5C"/>
    <w:rsid w:val="007537BC"/>
    <w:rsid w:val="00753E2E"/>
    <w:rsid w:val="0075426F"/>
    <w:rsid w:val="007545FE"/>
    <w:rsid w:val="00755340"/>
    <w:rsid w:val="00757806"/>
    <w:rsid w:val="00757812"/>
    <w:rsid w:val="00760609"/>
    <w:rsid w:val="00761DF5"/>
    <w:rsid w:val="00763831"/>
    <w:rsid w:val="00764596"/>
    <w:rsid w:val="0076707D"/>
    <w:rsid w:val="00767222"/>
    <w:rsid w:val="007710A8"/>
    <w:rsid w:val="00772D29"/>
    <w:rsid w:val="00773986"/>
    <w:rsid w:val="00776D6C"/>
    <w:rsid w:val="007812FB"/>
    <w:rsid w:val="00781C9C"/>
    <w:rsid w:val="00782481"/>
    <w:rsid w:val="00785081"/>
    <w:rsid w:val="00785EAD"/>
    <w:rsid w:val="00790C3F"/>
    <w:rsid w:val="00791B1C"/>
    <w:rsid w:val="007927F4"/>
    <w:rsid w:val="007937C4"/>
    <w:rsid w:val="0079461B"/>
    <w:rsid w:val="00795E63"/>
    <w:rsid w:val="00797D0F"/>
    <w:rsid w:val="007A0F96"/>
    <w:rsid w:val="007A15B5"/>
    <w:rsid w:val="007A3BDB"/>
    <w:rsid w:val="007A4A81"/>
    <w:rsid w:val="007A5360"/>
    <w:rsid w:val="007A70D1"/>
    <w:rsid w:val="007A73D5"/>
    <w:rsid w:val="007A7D28"/>
    <w:rsid w:val="007B0084"/>
    <w:rsid w:val="007B1352"/>
    <w:rsid w:val="007B3C40"/>
    <w:rsid w:val="007B404C"/>
    <w:rsid w:val="007B69BC"/>
    <w:rsid w:val="007B708A"/>
    <w:rsid w:val="007B7323"/>
    <w:rsid w:val="007B765D"/>
    <w:rsid w:val="007C0594"/>
    <w:rsid w:val="007C067F"/>
    <w:rsid w:val="007C5DA1"/>
    <w:rsid w:val="007D064F"/>
    <w:rsid w:val="007D1160"/>
    <w:rsid w:val="007D5895"/>
    <w:rsid w:val="007D67DC"/>
    <w:rsid w:val="007D7BCA"/>
    <w:rsid w:val="007D7D8C"/>
    <w:rsid w:val="007E06F9"/>
    <w:rsid w:val="007E0BC8"/>
    <w:rsid w:val="007E32A1"/>
    <w:rsid w:val="007E3579"/>
    <w:rsid w:val="007E3B55"/>
    <w:rsid w:val="007E470F"/>
    <w:rsid w:val="007E5EF1"/>
    <w:rsid w:val="007F3E97"/>
    <w:rsid w:val="007F3EED"/>
    <w:rsid w:val="007F6B7D"/>
    <w:rsid w:val="007F7147"/>
    <w:rsid w:val="007F7860"/>
    <w:rsid w:val="00801EE0"/>
    <w:rsid w:val="008059CD"/>
    <w:rsid w:val="0080628E"/>
    <w:rsid w:val="00806B4F"/>
    <w:rsid w:val="00807BCC"/>
    <w:rsid w:val="008128B2"/>
    <w:rsid w:val="00812D44"/>
    <w:rsid w:val="00813F16"/>
    <w:rsid w:val="008150A9"/>
    <w:rsid w:val="008162EC"/>
    <w:rsid w:val="00821075"/>
    <w:rsid w:val="008225D7"/>
    <w:rsid w:val="00825E3E"/>
    <w:rsid w:val="00826CEB"/>
    <w:rsid w:val="00826F05"/>
    <w:rsid w:val="00827567"/>
    <w:rsid w:val="00827678"/>
    <w:rsid w:val="008300F6"/>
    <w:rsid w:val="00832196"/>
    <w:rsid w:val="0083328C"/>
    <w:rsid w:val="00833663"/>
    <w:rsid w:val="008351C3"/>
    <w:rsid w:val="00835596"/>
    <w:rsid w:val="0083599E"/>
    <w:rsid w:val="00837C0B"/>
    <w:rsid w:val="0084073F"/>
    <w:rsid w:val="00844AD2"/>
    <w:rsid w:val="0084646F"/>
    <w:rsid w:val="00847CD1"/>
    <w:rsid w:val="008507FF"/>
    <w:rsid w:val="00851D32"/>
    <w:rsid w:val="00852549"/>
    <w:rsid w:val="00852E56"/>
    <w:rsid w:val="00853DFF"/>
    <w:rsid w:val="00854723"/>
    <w:rsid w:val="008620A0"/>
    <w:rsid w:val="00862B60"/>
    <w:rsid w:val="00864386"/>
    <w:rsid w:val="00864929"/>
    <w:rsid w:val="00866163"/>
    <w:rsid w:val="00871151"/>
    <w:rsid w:val="00871BE3"/>
    <w:rsid w:val="008765B7"/>
    <w:rsid w:val="00881A9C"/>
    <w:rsid w:val="00882075"/>
    <w:rsid w:val="008827F1"/>
    <w:rsid w:val="00883E3F"/>
    <w:rsid w:val="00885C0B"/>
    <w:rsid w:val="00887A32"/>
    <w:rsid w:val="008923E7"/>
    <w:rsid w:val="00892F79"/>
    <w:rsid w:val="00893F4F"/>
    <w:rsid w:val="00895DDF"/>
    <w:rsid w:val="008961BC"/>
    <w:rsid w:val="008964C8"/>
    <w:rsid w:val="008A10DA"/>
    <w:rsid w:val="008A1120"/>
    <w:rsid w:val="008A27D8"/>
    <w:rsid w:val="008A28EB"/>
    <w:rsid w:val="008A57DF"/>
    <w:rsid w:val="008A5C2B"/>
    <w:rsid w:val="008B5BBA"/>
    <w:rsid w:val="008B76EE"/>
    <w:rsid w:val="008B7CA8"/>
    <w:rsid w:val="008C1FED"/>
    <w:rsid w:val="008C25B2"/>
    <w:rsid w:val="008C3A3F"/>
    <w:rsid w:val="008C3ED3"/>
    <w:rsid w:val="008C4A5A"/>
    <w:rsid w:val="008D3867"/>
    <w:rsid w:val="008D5CE0"/>
    <w:rsid w:val="008D6158"/>
    <w:rsid w:val="008D6C12"/>
    <w:rsid w:val="008E0A7A"/>
    <w:rsid w:val="008E6263"/>
    <w:rsid w:val="008E7C8C"/>
    <w:rsid w:val="008F08EE"/>
    <w:rsid w:val="008F249B"/>
    <w:rsid w:val="008F2512"/>
    <w:rsid w:val="008F2C18"/>
    <w:rsid w:val="008F524A"/>
    <w:rsid w:val="008F6CD4"/>
    <w:rsid w:val="008F7C41"/>
    <w:rsid w:val="008F7FD1"/>
    <w:rsid w:val="00900584"/>
    <w:rsid w:val="009006B5"/>
    <w:rsid w:val="00904EF4"/>
    <w:rsid w:val="00905FFC"/>
    <w:rsid w:val="00906AB7"/>
    <w:rsid w:val="00910DAB"/>
    <w:rsid w:val="00912148"/>
    <w:rsid w:val="00913E43"/>
    <w:rsid w:val="009146B8"/>
    <w:rsid w:val="00915EDA"/>
    <w:rsid w:val="009179D5"/>
    <w:rsid w:val="00917C5D"/>
    <w:rsid w:val="00921352"/>
    <w:rsid w:val="00923E65"/>
    <w:rsid w:val="00923FB3"/>
    <w:rsid w:val="009240EA"/>
    <w:rsid w:val="00924E0B"/>
    <w:rsid w:val="009259CC"/>
    <w:rsid w:val="00926FD3"/>
    <w:rsid w:val="009311D9"/>
    <w:rsid w:val="00931907"/>
    <w:rsid w:val="009336CF"/>
    <w:rsid w:val="00935608"/>
    <w:rsid w:val="00935613"/>
    <w:rsid w:val="00935D03"/>
    <w:rsid w:val="00941AA7"/>
    <w:rsid w:val="00942027"/>
    <w:rsid w:val="00942CA1"/>
    <w:rsid w:val="009468E6"/>
    <w:rsid w:val="009475E7"/>
    <w:rsid w:val="00947B75"/>
    <w:rsid w:val="00951DCD"/>
    <w:rsid w:val="009534D8"/>
    <w:rsid w:val="009548F9"/>
    <w:rsid w:val="00954DBF"/>
    <w:rsid w:val="00955650"/>
    <w:rsid w:val="0095722B"/>
    <w:rsid w:val="00962FF0"/>
    <w:rsid w:val="00964F5D"/>
    <w:rsid w:val="0096554B"/>
    <w:rsid w:val="009661D3"/>
    <w:rsid w:val="00972AC5"/>
    <w:rsid w:val="00974F1C"/>
    <w:rsid w:val="00975074"/>
    <w:rsid w:val="009751C7"/>
    <w:rsid w:val="0097645D"/>
    <w:rsid w:val="0097696C"/>
    <w:rsid w:val="00980092"/>
    <w:rsid w:val="009816B5"/>
    <w:rsid w:val="0098280A"/>
    <w:rsid w:val="00983A04"/>
    <w:rsid w:val="0098519C"/>
    <w:rsid w:val="009858C9"/>
    <w:rsid w:val="00986A74"/>
    <w:rsid w:val="00986CA1"/>
    <w:rsid w:val="0098778F"/>
    <w:rsid w:val="00990B1F"/>
    <w:rsid w:val="0099610C"/>
    <w:rsid w:val="00996BB9"/>
    <w:rsid w:val="00997E87"/>
    <w:rsid w:val="00997F5C"/>
    <w:rsid w:val="009A002B"/>
    <w:rsid w:val="009A16FB"/>
    <w:rsid w:val="009A1945"/>
    <w:rsid w:val="009A1F92"/>
    <w:rsid w:val="009A3579"/>
    <w:rsid w:val="009A42EA"/>
    <w:rsid w:val="009A5DE7"/>
    <w:rsid w:val="009B207C"/>
    <w:rsid w:val="009B228C"/>
    <w:rsid w:val="009B3993"/>
    <w:rsid w:val="009B5980"/>
    <w:rsid w:val="009C07EB"/>
    <w:rsid w:val="009C0D62"/>
    <w:rsid w:val="009C0DEA"/>
    <w:rsid w:val="009C2AB6"/>
    <w:rsid w:val="009C309C"/>
    <w:rsid w:val="009C3A3C"/>
    <w:rsid w:val="009C409D"/>
    <w:rsid w:val="009C64AF"/>
    <w:rsid w:val="009D26BD"/>
    <w:rsid w:val="009D2C1C"/>
    <w:rsid w:val="009D3EF1"/>
    <w:rsid w:val="009D6292"/>
    <w:rsid w:val="009D641D"/>
    <w:rsid w:val="009D6C9B"/>
    <w:rsid w:val="009D758E"/>
    <w:rsid w:val="009E1D5F"/>
    <w:rsid w:val="009E1FBE"/>
    <w:rsid w:val="009E6627"/>
    <w:rsid w:val="009E6ADE"/>
    <w:rsid w:val="009E7684"/>
    <w:rsid w:val="009E7CED"/>
    <w:rsid w:val="009F11EF"/>
    <w:rsid w:val="009F1224"/>
    <w:rsid w:val="009F326F"/>
    <w:rsid w:val="009F433D"/>
    <w:rsid w:val="009F63FE"/>
    <w:rsid w:val="009F787E"/>
    <w:rsid w:val="00A003CC"/>
    <w:rsid w:val="00A00EC9"/>
    <w:rsid w:val="00A01779"/>
    <w:rsid w:val="00A02561"/>
    <w:rsid w:val="00A02A85"/>
    <w:rsid w:val="00A05427"/>
    <w:rsid w:val="00A07584"/>
    <w:rsid w:val="00A12853"/>
    <w:rsid w:val="00A12BB8"/>
    <w:rsid w:val="00A14703"/>
    <w:rsid w:val="00A14D8C"/>
    <w:rsid w:val="00A14DD3"/>
    <w:rsid w:val="00A16862"/>
    <w:rsid w:val="00A16E41"/>
    <w:rsid w:val="00A17BAC"/>
    <w:rsid w:val="00A20F1A"/>
    <w:rsid w:val="00A2157A"/>
    <w:rsid w:val="00A22148"/>
    <w:rsid w:val="00A237C9"/>
    <w:rsid w:val="00A26EDE"/>
    <w:rsid w:val="00A27176"/>
    <w:rsid w:val="00A27FBF"/>
    <w:rsid w:val="00A3046E"/>
    <w:rsid w:val="00A30BA3"/>
    <w:rsid w:val="00A32231"/>
    <w:rsid w:val="00A32678"/>
    <w:rsid w:val="00A32C93"/>
    <w:rsid w:val="00A3348C"/>
    <w:rsid w:val="00A3585D"/>
    <w:rsid w:val="00A370AB"/>
    <w:rsid w:val="00A37C69"/>
    <w:rsid w:val="00A41AAD"/>
    <w:rsid w:val="00A41EDF"/>
    <w:rsid w:val="00A424EA"/>
    <w:rsid w:val="00A43178"/>
    <w:rsid w:val="00A50A97"/>
    <w:rsid w:val="00A521D1"/>
    <w:rsid w:val="00A52C64"/>
    <w:rsid w:val="00A55848"/>
    <w:rsid w:val="00A55A17"/>
    <w:rsid w:val="00A56DF0"/>
    <w:rsid w:val="00A57C8C"/>
    <w:rsid w:val="00A60C2E"/>
    <w:rsid w:val="00A6185B"/>
    <w:rsid w:val="00A62D7E"/>
    <w:rsid w:val="00A630AC"/>
    <w:rsid w:val="00A634E2"/>
    <w:rsid w:val="00A6783D"/>
    <w:rsid w:val="00A72262"/>
    <w:rsid w:val="00A72882"/>
    <w:rsid w:val="00A74A3E"/>
    <w:rsid w:val="00A74CF7"/>
    <w:rsid w:val="00A8322E"/>
    <w:rsid w:val="00A84016"/>
    <w:rsid w:val="00A84078"/>
    <w:rsid w:val="00A85A8F"/>
    <w:rsid w:val="00A85DBE"/>
    <w:rsid w:val="00A871B9"/>
    <w:rsid w:val="00A90910"/>
    <w:rsid w:val="00A93206"/>
    <w:rsid w:val="00A9395C"/>
    <w:rsid w:val="00A95B51"/>
    <w:rsid w:val="00A9725F"/>
    <w:rsid w:val="00AA4464"/>
    <w:rsid w:val="00AA45B2"/>
    <w:rsid w:val="00AA46AD"/>
    <w:rsid w:val="00AA52FC"/>
    <w:rsid w:val="00AB1E42"/>
    <w:rsid w:val="00AB2265"/>
    <w:rsid w:val="00AB2D80"/>
    <w:rsid w:val="00AB3182"/>
    <w:rsid w:val="00AB32D1"/>
    <w:rsid w:val="00AB6FF1"/>
    <w:rsid w:val="00AC1674"/>
    <w:rsid w:val="00AC24BD"/>
    <w:rsid w:val="00AC30C6"/>
    <w:rsid w:val="00AC355B"/>
    <w:rsid w:val="00AC3957"/>
    <w:rsid w:val="00AD0325"/>
    <w:rsid w:val="00AD0719"/>
    <w:rsid w:val="00AD2897"/>
    <w:rsid w:val="00AD35AB"/>
    <w:rsid w:val="00AE1BDC"/>
    <w:rsid w:val="00AE2C15"/>
    <w:rsid w:val="00AE3558"/>
    <w:rsid w:val="00AE5B14"/>
    <w:rsid w:val="00AE718C"/>
    <w:rsid w:val="00AE7D6B"/>
    <w:rsid w:val="00AF023A"/>
    <w:rsid w:val="00AF0731"/>
    <w:rsid w:val="00AF178A"/>
    <w:rsid w:val="00AF1AA6"/>
    <w:rsid w:val="00AF22C2"/>
    <w:rsid w:val="00AF419F"/>
    <w:rsid w:val="00AF465C"/>
    <w:rsid w:val="00AF78E8"/>
    <w:rsid w:val="00B013D1"/>
    <w:rsid w:val="00B013E4"/>
    <w:rsid w:val="00B02C21"/>
    <w:rsid w:val="00B04AE5"/>
    <w:rsid w:val="00B04B50"/>
    <w:rsid w:val="00B0642A"/>
    <w:rsid w:val="00B0781B"/>
    <w:rsid w:val="00B127DE"/>
    <w:rsid w:val="00B1381F"/>
    <w:rsid w:val="00B13AD3"/>
    <w:rsid w:val="00B14BBA"/>
    <w:rsid w:val="00B14D48"/>
    <w:rsid w:val="00B163F2"/>
    <w:rsid w:val="00B169FE"/>
    <w:rsid w:val="00B17B38"/>
    <w:rsid w:val="00B20BB9"/>
    <w:rsid w:val="00B210AD"/>
    <w:rsid w:val="00B2197B"/>
    <w:rsid w:val="00B242A0"/>
    <w:rsid w:val="00B24B47"/>
    <w:rsid w:val="00B26AD5"/>
    <w:rsid w:val="00B307DC"/>
    <w:rsid w:val="00B31E77"/>
    <w:rsid w:val="00B32029"/>
    <w:rsid w:val="00B32B6F"/>
    <w:rsid w:val="00B32EB3"/>
    <w:rsid w:val="00B3535D"/>
    <w:rsid w:val="00B35E54"/>
    <w:rsid w:val="00B36983"/>
    <w:rsid w:val="00B36EB2"/>
    <w:rsid w:val="00B376B4"/>
    <w:rsid w:val="00B4050A"/>
    <w:rsid w:val="00B41628"/>
    <w:rsid w:val="00B42454"/>
    <w:rsid w:val="00B424F1"/>
    <w:rsid w:val="00B449E8"/>
    <w:rsid w:val="00B4609D"/>
    <w:rsid w:val="00B47BCA"/>
    <w:rsid w:val="00B47E4C"/>
    <w:rsid w:val="00B52E02"/>
    <w:rsid w:val="00B5364B"/>
    <w:rsid w:val="00B56E56"/>
    <w:rsid w:val="00B60AA4"/>
    <w:rsid w:val="00B61C46"/>
    <w:rsid w:val="00B62EF1"/>
    <w:rsid w:val="00B66BA5"/>
    <w:rsid w:val="00B66D7D"/>
    <w:rsid w:val="00B676DE"/>
    <w:rsid w:val="00B67EA2"/>
    <w:rsid w:val="00B708F8"/>
    <w:rsid w:val="00B7118E"/>
    <w:rsid w:val="00B72116"/>
    <w:rsid w:val="00B737C3"/>
    <w:rsid w:val="00B73E6E"/>
    <w:rsid w:val="00B73EB1"/>
    <w:rsid w:val="00B7527E"/>
    <w:rsid w:val="00B807E9"/>
    <w:rsid w:val="00B81626"/>
    <w:rsid w:val="00B822D4"/>
    <w:rsid w:val="00B83990"/>
    <w:rsid w:val="00B85D4B"/>
    <w:rsid w:val="00B86FCB"/>
    <w:rsid w:val="00B8757A"/>
    <w:rsid w:val="00B87962"/>
    <w:rsid w:val="00B90D71"/>
    <w:rsid w:val="00B90FDD"/>
    <w:rsid w:val="00B9383B"/>
    <w:rsid w:val="00B93B78"/>
    <w:rsid w:val="00B955A0"/>
    <w:rsid w:val="00BA1DC8"/>
    <w:rsid w:val="00BA1F87"/>
    <w:rsid w:val="00BA237D"/>
    <w:rsid w:val="00BA5127"/>
    <w:rsid w:val="00BA5F91"/>
    <w:rsid w:val="00BA789D"/>
    <w:rsid w:val="00BB0303"/>
    <w:rsid w:val="00BB1D36"/>
    <w:rsid w:val="00BB21B6"/>
    <w:rsid w:val="00BB2CA2"/>
    <w:rsid w:val="00BB49A0"/>
    <w:rsid w:val="00BB4D54"/>
    <w:rsid w:val="00BB5385"/>
    <w:rsid w:val="00BB566C"/>
    <w:rsid w:val="00BB67E3"/>
    <w:rsid w:val="00BB6B00"/>
    <w:rsid w:val="00BC0864"/>
    <w:rsid w:val="00BC2BC7"/>
    <w:rsid w:val="00BC3F6E"/>
    <w:rsid w:val="00BD065B"/>
    <w:rsid w:val="00BD080F"/>
    <w:rsid w:val="00BD2695"/>
    <w:rsid w:val="00BD5316"/>
    <w:rsid w:val="00BD6D3E"/>
    <w:rsid w:val="00BE0A98"/>
    <w:rsid w:val="00BE3767"/>
    <w:rsid w:val="00BE4D8B"/>
    <w:rsid w:val="00BE51DA"/>
    <w:rsid w:val="00BF2680"/>
    <w:rsid w:val="00BF2AF8"/>
    <w:rsid w:val="00BF4778"/>
    <w:rsid w:val="00BF4D1E"/>
    <w:rsid w:val="00BF50CC"/>
    <w:rsid w:val="00BF6406"/>
    <w:rsid w:val="00C037D8"/>
    <w:rsid w:val="00C04CC4"/>
    <w:rsid w:val="00C065FA"/>
    <w:rsid w:val="00C104B2"/>
    <w:rsid w:val="00C10F0C"/>
    <w:rsid w:val="00C126CA"/>
    <w:rsid w:val="00C12D89"/>
    <w:rsid w:val="00C1360B"/>
    <w:rsid w:val="00C14082"/>
    <w:rsid w:val="00C144E7"/>
    <w:rsid w:val="00C15ACE"/>
    <w:rsid w:val="00C15C1C"/>
    <w:rsid w:val="00C15CF4"/>
    <w:rsid w:val="00C26586"/>
    <w:rsid w:val="00C2789C"/>
    <w:rsid w:val="00C316A9"/>
    <w:rsid w:val="00C32DFC"/>
    <w:rsid w:val="00C32F8C"/>
    <w:rsid w:val="00C364BA"/>
    <w:rsid w:val="00C4113D"/>
    <w:rsid w:val="00C47563"/>
    <w:rsid w:val="00C47F9F"/>
    <w:rsid w:val="00C5061D"/>
    <w:rsid w:val="00C50F77"/>
    <w:rsid w:val="00C510F7"/>
    <w:rsid w:val="00C53A66"/>
    <w:rsid w:val="00C55237"/>
    <w:rsid w:val="00C56390"/>
    <w:rsid w:val="00C57434"/>
    <w:rsid w:val="00C57847"/>
    <w:rsid w:val="00C62F0E"/>
    <w:rsid w:val="00C727AA"/>
    <w:rsid w:val="00C73391"/>
    <w:rsid w:val="00C804DD"/>
    <w:rsid w:val="00C80A16"/>
    <w:rsid w:val="00C831B7"/>
    <w:rsid w:val="00C866D4"/>
    <w:rsid w:val="00C874EF"/>
    <w:rsid w:val="00C913C6"/>
    <w:rsid w:val="00C914F3"/>
    <w:rsid w:val="00C927BA"/>
    <w:rsid w:val="00C92D7D"/>
    <w:rsid w:val="00C94312"/>
    <w:rsid w:val="00C94A09"/>
    <w:rsid w:val="00C9681F"/>
    <w:rsid w:val="00CA0F65"/>
    <w:rsid w:val="00CA12A5"/>
    <w:rsid w:val="00CA1CAD"/>
    <w:rsid w:val="00CA5500"/>
    <w:rsid w:val="00CA57B7"/>
    <w:rsid w:val="00CA69E1"/>
    <w:rsid w:val="00CA6EDD"/>
    <w:rsid w:val="00CA7D2B"/>
    <w:rsid w:val="00CB2C84"/>
    <w:rsid w:val="00CC0BDD"/>
    <w:rsid w:val="00CC1FDE"/>
    <w:rsid w:val="00CC42D0"/>
    <w:rsid w:val="00CC4AE9"/>
    <w:rsid w:val="00CC65DA"/>
    <w:rsid w:val="00CC67DC"/>
    <w:rsid w:val="00CC7118"/>
    <w:rsid w:val="00CC7B8D"/>
    <w:rsid w:val="00CD1EE8"/>
    <w:rsid w:val="00CD2B6B"/>
    <w:rsid w:val="00CD5971"/>
    <w:rsid w:val="00CD7DEB"/>
    <w:rsid w:val="00CE21F8"/>
    <w:rsid w:val="00CE2AED"/>
    <w:rsid w:val="00CE5378"/>
    <w:rsid w:val="00CF08A5"/>
    <w:rsid w:val="00CF0E07"/>
    <w:rsid w:val="00CF27E9"/>
    <w:rsid w:val="00CF2D00"/>
    <w:rsid w:val="00CF4010"/>
    <w:rsid w:val="00D0022C"/>
    <w:rsid w:val="00D0026F"/>
    <w:rsid w:val="00D014C9"/>
    <w:rsid w:val="00D015A6"/>
    <w:rsid w:val="00D02050"/>
    <w:rsid w:val="00D023AF"/>
    <w:rsid w:val="00D03A77"/>
    <w:rsid w:val="00D03E21"/>
    <w:rsid w:val="00D10237"/>
    <w:rsid w:val="00D10C6B"/>
    <w:rsid w:val="00D12331"/>
    <w:rsid w:val="00D12B46"/>
    <w:rsid w:val="00D14637"/>
    <w:rsid w:val="00D16C86"/>
    <w:rsid w:val="00D208ED"/>
    <w:rsid w:val="00D21A35"/>
    <w:rsid w:val="00D23101"/>
    <w:rsid w:val="00D237EF"/>
    <w:rsid w:val="00D248A3"/>
    <w:rsid w:val="00D3433D"/>
    <w:rsid w:val="00D3463F"/>
    <w:rsid w:val="00D35547"/>
    <w:rsid w:val="00D365C9"/>
    <w:rsid w:val="00D37E5C"/>
    <w:rsid w:val="00D4226D"/>
    <w:rsid w:val="00D44F55"/>
    <w:rsid w:val="00D44FFE"/>
    <w:rsid w:val="00D46A7F"/>
    <w:rsid w:val="00D47F21"/>
    <w:rsid w:val="00D514D9"/>
    <w:rsid w:val="00D5440F"/>
    <w:rsid w:val="00D55BAB"/>
    <w:rsid w:val="00D55C2C"/>
    <w:rsid w:val="00D562DF"/>
    <w:rsid w:val="00D571DE"/>
    <w:rsid w:val="00D57675"/>
    <w:rsid w:val="00D576F4"/>
    <w:rsid w:val="00D629C6"/>
    <w:rsid w:val="00D6417B"/>
    <w:rsid w:val="00D66700"/>
    <w:rsid w:val="00D713EC"/>
    <w:rsid w:val="00D71C96"/>
    <w:rsid w:val="00D71F79"/>
    <w:rsid w:val="00D729CD"/>
    <w:rsid w:val="00D7374F"/>
    <w:rsid w:val="00D741F3"/>
    <w:rsid w:val="00D7433F"/>
    <w:rsid w:val="00D74C34"/>
    <w:rsid w:val="00D74FF1"/>
    <w:rsid w:val="00D76945"/>
    <w:rsid w:val="00D80B31"/>
    <w:rsid w:val="00D824C5"/>
    <w:rsid w:val="00D91293"/>
    <w:rsid w:val="00D946F1"/>
    <w:rsid w:val="00DA06A2"/>
    <w:rsid w:val="00DA1C73"/>
    <w:rsid w:val="00DA3720"/>
    <w:rsid w:val="00DA3997"/>
    <w:rsid w:val="00DA4303"/>
    <w:rsid w:val="00DB0619"/>
    <w:rsid w:val="00DB2B6B"/>
    <w:rsid w:val="00DB68AE"/>
    <w:rsid w:val="00DC446A"/>
    <w:rsid w:val="00DC4B75"/>
    <w:rsid w:val="00DC668F"/>
    <w:rsid w:val="00DC67B8"/>
    <w:rsid w:val="00DC6F91"/>
    <w:rsid w:val="00DD0044"/>
    <w:rsid w:val="00DD03DC"/>
    <w:rsid w:val="00DD2CF1"/>
    <w:rsid w:val="00DD3B15"/>
    <w:rsid w:val="00DD4027"/>
    <w:rsid w:val="00DD5517"/>
    <w:rsid w:val="00DE15BA"/>
    <w:rsid w:val="00DE442B"/>
    <w:rsid w:val="00DE5223"/>
    <w:rsid w:val="00DE5231"/>
    <w:rsid w:val="00DE6051"/>
    <w:rsid w:val="00DE6E85"/>
    <w:rsid w:val="00DE6EBE"/>
    <w:rsid w:val="00DE7457"/>
    <w:rsid w:val="00DF0F02"/>
    <w:rsid w:val="00DF16F0"/>
    <w:rsid w:val="00DF271B"/>
    <w:rsid w:val="00DF4B67"/>
    <w:rsid w:val="00DF4F5B"/>
    <w:rsid w:val="00DF559A"/>
    <w:rsid w:val="00DF5741"/>
    <w:rsid w:val="00DF5B8B"/>
    <w:rsid w:val="00DF6D08"/>
    <w:rsid w:val="00DF7126"/>
    <w:rsid w:val="00DF713C"/>
    <w:rsid w:val="00E00096"/>
    <w:rsid w:val="00E00D37"/>
    <w:rsid w:val="00E03DC4"/>
    <w:rsid w:val="00E05A72"/>
    <w:rsid w:val="00E06626"/>
    <w:rsid w:val="00E10DCA"/>
    <w:rsid w:val="00E13441"/>
    <w:rsid w:val="00E13E78"/>
    <w:rsid w:val="00E142EA"/>
    <w:rsid w:val="00E1742B"/>
    <w:rsid w:val="00E206D1"/>
    <w:rsid w:val="00E21CAB"/>
    <w:rsid w:val="00E226E2"/>
    <w:rsid w:val="00E230E9"/>
    <w:rsid w:val="00E26A4B"/>
    <w:rsid w:val="00E26AB5"/>
    <w:rsid w:val="00E342EA"/>
    <w:rsid w:val="00E3781F"/>
    <w:rsid w:val="00E41FE8"/>
    <w:rsid w:val="00E458F7"/>
    <w:rsid w:val="00E46744"/>
    <w:rsid w:val="00E46AF3"/>
    <w:rsid w:val="00E50780"/>
    <w:rsid w:val="00E51603"/>
    <w:rsid w:val="00E51795"/>
    <w:rsid w:val="00E51E59"/>
    <w:rsid w:val="00E52E81"/>
    <w:rsid w:val="00E5383B"/>
    <w:rsid w:val="00E53B27"/>
    <w:rsid w:val="00E542EE"/>
    <w:rsid w:val="00E54C4C"/>
    <w:rsid w:val="00E55939"/>
    <w:rsid w:val="00E55992"/>
    <w:rsid w:val="00E5759E"/>
    <w:rsid w:val="00E57BB3"/>
    <w:rsid w:val="00E60E29"/>
    <w:rsid w:val="00E62356"/>
    <w:rsid w:val="00E646A2"/>
    <w:rsid w:val="00E64A84"/>
    <w:rsid w:val="00E67C4D"/>
    <w:rsid w:val="00E738A4"/>
    <w:rsid w:val="00E74002"/>
    <w:rsid w:val="00E7546F"/>
    <w:rsid w:val="00E75BC9"/>
    <w:rsid w:val="00E821AF"/>
    <w:rsid w:val="00E8536E"/>
    <w:rsid w:val="00E855AB"/>
    <w:rsid w:val="00E874C3"/>
    <w:rsid w:val="00E915DB"/>
    <w:rsid w:val="00E91B48"/>
    <w:rsid w:val="00E93119"/>
    <w:rsid w:val="00E94D4C"/>
    <w:rsid w:val="00E9566A"/>
    <w:rsid w:val="00E97129"/>
    <w:rsid w:val="00EA0C86"/>
    <w:rsid w:val="00EA252A"/>
    <w:rsid w:val="00EA2D48"/>
    <w:rsid w:val="00EA3FEF"/>
    <w:rsid w:val="00EA4BE7"/>
    <w:rsid w:val="00EA5212"/>
    <w:rsid w:val="00EA7382"/>
    <w:rsid w:val="00EB0257"/>
    <w:rsid w:val="00EB13F7"/>
    <w:rsid w:val="00EB3F39"/>
    <w:rsid w:val="00EB42A1"/>
    <w:rsid w:val="00EB4B79"/>
    <w:rsid w:val="00EC1E7E"/>
    <w:rsid w:val="00EC2712"/>
    <w:rsid w:val="00EC2D5A"/>
    <w:rsid w:val="00EC3EDE"/>
    <w:rsid w:val="00EC489E"/>
    <w:rsid w:val="00EC68F5"/>
    <w:rsid w:val="00EC7F6E"/>
    <w:rsid w:val="00ED2303"/>
    <w:rsid w:val="00ED49A6"/>
    <w:rsid w:val="00ED6194"/>
    <w:rsid w:val="00EE0523"/>
    <w:rsid w:val="00EE10DD"/>
    <w:rsid w:val="00EE229B"/>
    <w:rsid w:val="00EE242E"/>
    <w:rsid w:val="00EE297A"/>
    <w:rsid w:val="00EE2F43"/>
    <w:rsid w:val="00EE44CF"/>
    <w:rsid w:val="00EE5E4A"/>
    <w:rsid w:val="00EE70CA"/>
    <w:rsid w:val="00EE7C8D"/>
    <w:rsid w:val="00EF0D39"/>
    <w:rsid w:val="00EF1EDD"/>
    <w:rsid w:val="00EF1F41"/>
    <w:rsid w:val="00EF36B7"/>
    <w:rsid w:val="00EF394B"/>
    <w:rsid w:val="00EF6818"/>
    <w:rsid w:val="00F00A25"/>
    <w:rsid w:val="00F038E4"/>
    <w:rsid w:val="00F04433"/>
    <w:rsid w:val="00F0492C"/>
    <w:rsid w:val="00F05D60"/>
    <w:rsid w:val="00F1076B"/>
    <w:rsid w:val="00F1079A"/>
    <w:rsid w:val="00F1151E"/>
    <w:rsid w:val="00F14A3F"/>
    <w:rsid w:val="00F1659D"/>
    <w:rsid w:val="00F166BA"/>
    <w:rsid w:val="00F17C43"/>
    <w:rsid w:val="00F20FCC"/>
    <w:rsid w:val="00F21336"/>
    <w:rsid w:val="00F213A7"/>
    <w:rsid w:val="00F2328F"/>
    <w:rsid w:val="00F24167"/>
    <w:rsid w:val="00F24A3C"/>
    <w:rsid w:val="00F24C5C"/>
    <w:rsid w:val="00F253F6"/>
    <w:rsid w:val="00F2651B"/>
    <w:rsid w:val="00F26D83"/>
    <w:rsid w:val="00F27B36"/>
    <w:rsid w:val="00F306CD"/>
    <w:rsid w:val="00F32116"/>
    <w:rsid w:val="00F331FB"/>
    <w:rsid w:val="00F33209"/>
    <w:rsid w:val="00F340E9"/>
    <w:rsid w:val="00F34C6F"/>
    <w:rsid w:val="00F366D9"/>
    <w:rsid w:val="00F37626"/>
    <w:rsid w:val="00F40DB6"/>
    <w:rsid w:val="00F4464D"/>
    <w:rsid w:val="00F45804"/>
    <w:rsid w:val="00F52A70"/>
    <w:rsid w:val="00F52A7C"/>
    <w:rsid w:val="00F532BD"/>
    <w:rsid w:val="00F54298"/>
    <w:rsid w:val="00F558FE"/>
    <w:rsid w:val="00F62AF3"/>
    <w:rsid w:val="00F62B93"/>
    <w:rsid w:val="00F630E0"/>
    <w:rsid w:val="00F63211"/>
    <w:rsid w:val="00F63A56"/>
    <w:rsid w:val="00F63C44"/>
    <w:rsid w:val="00F64783"/>
    <w:rsid w:val="00F6507C"/>
    <w:rsid w:val="00F67087"/>
    <w:rsid w:val="00F670FE"/>
    <w:rsid w:val="00F67BFC"/>
    <w:rsid w:val="00F72163"/>
    <w:rsid w:val="00F74507"/>
    <w:rsid w:val="00F76275"/>
    <w:rsid w:val="00F76EBE"/>
    <w:rsid w:val="00F77B19"/>
    <w:rsid w:val="00F80099"/>
    <w:rsid w:val="00F8052F"/>
    <w:rsid w:val="00F80E1E"/>
    <w:rsid w:val="00F842B4"/>
    <w:rsid w:val="00F86A2A"/>
    <w:rsid w:val="00F86B87"/>
    <w:rsid w:val="00F86FF7"/>
    <w:rsid w:val="00F87820"/>
    <w:rsid w:val="00F90A18"/>
    <w:rsid w:val="00F90D9D"/>
    <w:rsid w:val="00F91413"/>
    <w:rsid w:val="00F92208"/>
    <w:rsid w:val="00F9309C"/>
    <w:rsid w:val="00F9603F"/>
    <w:rsid w:val="00F961C1"/>
    <w:rsid w:val="00FA0F76"/>
    <w:rsid w:val="00FA47E0"/>
    <w:rsid w:val="00FA4966"/>
    <w:rsid w:val="00FB22A4"/>
    <w:rsid w:val="00FB29B5"/>
    <w:rsid w:val="00FB3DFC"/>
    <w:rsid w:val="00FB5362"/>
    <w:rsid w:val="00FB690C"/>
    <w:rsid w:val="00FB7D63"/>
    <w:rsid w:val="00FC1918"/>
    <w:rsid w:val="00FC1BE7"/>
    <w:rsid w:val="00FC271B"/>
    <w:rsid w:val="00FC2E1F"/>
    <w:rsid w:val="00FD062E"/>
    <w:rsid w:val="00FD1971"/>
    <w:rsid w:val="00FD3BB7"/>
    <w:rsid w:val="00FE05D2"/>
    <w:rsid w:val="00FE1576"/>
    <w:rsid w:val="00FE2218"/>
    <w:rsid w:val="00FE2B09"/>
    <w:rsid w:val="00FE3614"/>
    <w:rsid w:val="00FE3B70"/>
    <w:rsid w:val="00FE47C2"/>
    <w:rsid w:val="00FF0561"/>
    <w:rsid w:val="00FF1231"/>
    <w:rsid w:val="00FF5F5A"/>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415899-0971-40D6-9863-0D04474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196"/>
    <w:rPr>
      <w:color w:val="0563C1" w:themeColor="hyperlink"/>
      <w:u w:val="single"/>
    </w:rPr>
  </w:style>
  <w:style w:type="paragraph" w:styleId="PlainText">
    <w:name w:val="Plain Text"/>
    <w:basedOn w:val="Normal"/>
    <w:link w:val="PlainTextChar"/>
    <w:uiPriority w:val="99"/>
    <w:unhideWhenUsed/>
    <w:rsid w:val="00E57B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7BB3"/>
    <w:rPr>
      <w:rFonts w:ascii="Calibri" w:hAnsi="Calibri"/>
      <w:szCs w:val="21"/>
    </w:rPr>
  </w:style>
  <w:style w:type="paragraph" w:styleId="NormalWeb">
    <w:name w:val="Normal (Web)"/>
    <w:basedOn w:val="Normal"/>
    <w:uiPriority w:val="99"/>
    <w:unhideWhenUsed/>
    <w:rsid w:val="00DF6D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5BF6"/>
    <w:pPr>
      <w:ind w:left="720"/>
      <w:contextualSpacing/>
    </w:pPr>
    <w:rPr>
      <w:lang w:val="sr-Cyrl-RS"/>
    </w:rPr>
  </w:style>
  <w:style w:type="character" w:customStyle="1" w:styleId="ListParagraphChar">
    <w:name w:val="List Paragraph Char"/>
    <w:link w:val="ListParagraph"/>
    <w:locked/>
    <w:rsid w:val="00195BF6"/>
    <w:rPr>
      <w:lang w:val="sr-Cyrl-RS"/>
    </w:rPr>
  </w:style>
  <w:style w:type="paragraph" w:styleId="Header">
    <w:name w:val="header"/>
    <w:basedOn w:val="Normal"/>
    <w:link w:val="HeaderChar"/>
    <w:uiPriority w:val="99"/>
    <w:unhideWhenUsed/>
    <w:rsid w:val="0019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BF6"/>
  </w:style>
  <w:style w:type="paragraph" w:styleId="Footer">
    <w:name w:val="footer"/>
    <w:basedOn w:val="Normal"/>
    <w:link w:val="FooterChar"/>
    <w:uiPriority w:val="99"/>
    <w:unhideWhenUsed/>
    <w:rsid w:val="0019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BF6"/>
  </w:style>
  <w:style w:type="table" w:customStyle="1" w:styleId="TableGrid">
    <w:name w:val="TableGrid"/>
    <w:rsid w:val="002D281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3492">
      <w:bodyDiv w:val="1"/>
      <w:marLeft w:val="0"/>
      <w:marRight w:val="0"/>
      <w:marTop w:val="0"/>
      <w:marBottom w:val="0"/>
      <w:divBdr>
        <w:top w:val="none" w:sz="0" w:space="0" w:color="auto"/>
        <w:left w:val="none" w:sz="0" w:space="0" w:color="auto"/>
        <w:bottom w:val="none" w:sz="0" w:space="0" w:color="auto"/>
        <w:right w:val="none" w:sz="0" w:space="0" w:color="auto"/>
      </w:divBdr>
    </w:div>
    <w:div w:id="847334726">
      <w:bodyDiv w:val="1"/>
      <w:marLeft w:val="0"/>
      <w:marRight w:val="0"/>
      <w:marTop w:val="0"/>
      <w:marBottom w:val="0"/>
      <w:divBdr>
        <w:top w:val="none" w:sz="0" w:space="0" w:color="auto"/>
        <w:left w:val="none" w:sz="0" w:space="0" w:color="auto"/>
        <w:bottom w:val="none" w:sz="0" w:space="0" w:color="auto"/>
        <w:right w:val="none" w:sz="0" w:space="0" w:color="auto"/>
      </w:divBdr>
    </w:div>
    <w:div w:id="1441025784">
      <w:bodyDiv w:val="1"/>
      <w:marLeft w:val="0"/>
      <w:marRight w:val="0"/>
      <w:marTop w:val="0"/>
      <w:marBottom w:val="0"/>
      <w:divBdr>
        <w:top w:val="none" w:sz="0" w:space="0" w:color="auto"/>
        <w:left w:val="none" w:sz="0" w:space="0" w:color="auto"/>
        <w:bottom w:val="none" w:sz="0" w:space="0" w:color="auto"/>
        <w:right w:val="none" w:sz="0" w:space="0" w:color="auto"/>
      </w:divBdr>
    </w:div>
    <w:div w:id="1730834774">
      <w:bodyDiv w:val="1"/>
      <w:marLeft w:val="0"/>
      <w:marRight w:val="0"/>
      <w:marTop w:val="0"/>
      <w:marBottom w:val="0"/>
      <w:divBdr>
        <w:top w:val="none" w:sz="0" w:space="0" w:color="auto"/>
        <w:left w:val="none" w:sz="0" w:space="0" w:color="auto"/>
        <w:bottom w:val="none" w:sz="0" w:space="0" w:color="auto"/>
        <w:right w:val="none" w:sz="0" w:space="0" w:color="auto"/>
      </w:divBdr>
    </w:div>
    <w:div w:id="186682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atjana.radukic@mgsi.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DAFA-1EB6-4919-B309-F3B5304C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4</cp:revision>
  <dcterms:created xsi:type="dcterms:W3CDTF">2020-10-05T13:21:00Z</dcterms:created>
  <dcterms:modified xsi:type="dcterms:W3CDTF">2020-10-05T13:21:00Z</dcterms:modified>
</cp:coreProperties>
</file>