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0CB4" w14:textId="1D09562A" w:rsidR="00247FB4" w:rsidRDefault="00247FB4">
      <w:pPr>
        <w:spacing w:after="200" w:line="276" w:lineRule="auto"/>
        <w:jc w:val="left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8"/>
      </w:tblGrid>
      <w:tr w:rsidR="00247FB4" w14:paraId="7CA18243" w14:textId="77777777" w:rsidTr="00C82217">
        <w:trPr>
          <w:jc w:val="center"/>
        </w:trPr>
        <w:tc>
          <w:tcPr>
            <w:tcW w:w="4788" w:type="dxa"/>
          </w:tcPr>
          <w:p w14:paraId="346CAEB3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4876D335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1916B5A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2D02008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55699F8F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14C498A0" w14:textId="77777777" w:rsidR="00247FB4" w:rsidRDefault="00247FB4" w:rsidP="00247FB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noProof/>
                <w:snapToGrid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3F2A3BC3" wp14:editId="5243832D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-876300</wp:posOffset>
                  </wp:positionV>
                  <wp:extent cx="427355" cy="849630"/>
                  <wp:effectExtent l="0" t="0" r="0" b="7620"/>
                  <wp:wrapTight wrapText="bothSides">
                    <wp:wrapPolygon edited="0">
                      <wp:start x="6740" y="0"/>
                      <wp:lineTo x="0" y="2422"/>
                      <wp:lineTo x="0" y="19372"/>
                      <wp:lineTo x="3851" y="21309"/>
                      <wp:lineTo x="16368" y="21309"/>
                      <wp:lineTo x="20220" y="19372"/>
                      <wp:lineTo x="20220" y="2422"/>
                      <wp:lineTo x="13480" y="0"/>
                      <wp:lineTo x="6740" y="0"/>
                    </wp:wrapPolygon>
                  </wp:wrapTight>
                  <wp:docPr id="2" name="Picture 2" descr="https://upload.wikimedia.org/wikipedia/commons/thumb/0/0f/Coat_of_arms_of_Serbia_small.svg/60px-Coat_of_arms_of_Serbia_smal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0/0f/Coat_of_arms_of_Serbia_small.svg/60px-Coat_of_arms_of_Serbia_smal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lang w:val="sr-Cyrl-RS"/>
              </w:rPr>
              <w:t xml:space="preserve">Министарство грађевинарства, </w:t>
            </w:r>
          </w:p>
          <w:p w14:paraId="376E6515" w14:textId="5A791880" w:rsidR="00247FB4" w:rsidRDefault="00247FB4" w:rsidP="00247FB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саобраћаја и инфраструктуре</w:t>
            </w:r>
          </w:p>
        </w:tc>
        <w:tc>
          <w:tcPr>
            <w:tcW w:w="4788" w:type="dxa"/>
          </w:tcPr>
          <w:p w14:paraId="2128AFA5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0E71EB0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2D91264C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476FBB7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53A3679B" w14:textId="77777777" w:rsidR="00247FB4" w:rsidRDefault="00247FB4" w:rsidP="00C82217">
            <w:pPr>
              <w:jc w:val="center"/>
              <w:rPr>
                <w:rFonts w:ascii="Times New Roman" w:hAnsi="Times New Roman"/>
                <w:lang w:val="en-US"/>
              </w:rPr>
            </w:pPr>
          </w:p>
          <w:p w14:paraId="3ECA9421" w14:textId="1DC362AB" w:rsidR="00247FB4" w:rsidRDefault="00247FB4" w:rsidP="00247FB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noProof/>
                <w:snapToGrid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030C3F4D" wp14:editId="07E51A4F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-609600</wp:posOffset>
                  </wp:positionV>
                  <wp:extent cx="500380" cy="500380"/>
                  <wp:effectExtent l="0" t="0" r="0" b="0"/>
                  <wp:wrapTight wrapText="bothSides">
                    <wp:wrapPolygon edited="0">
                      <wp:start x="0" y="0"/>
                      <wp:lineTo x="0" y="13157"/>
                      <wp:lineTo x="6579" y="20558"/>
                      <wp:lineTo x="7401" y="20558"/>
                      <wp:lineTo x="13157" y="20558"/>
                      <wp:lineTo x="13980" y="20558"/>
                      <wp:lineTo x="20558" y="13980"/>
                      <wp:lineTo x="20558" y="0"/>
                      <wp:lineTo x="0" y="0"/>
                    </wp:wrapPolygon>
                  </wp:wrapTight>
                  <wp:docPr id="4" name="Picture 4" descr="http://www.zastave-grbovi.com/zigs/648/kraljevo-g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astave-grbovi.com/zigs/648/kraljevo-g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lang w:val="sr-Cyrl-RS"/>
              </w:rPr>
              <w:t>Град Краљево</w:t>
            </w:r>
          </w:p>
        </w:tc>
      </w:tr>
    </w:tbl>
    <w:p w14:paraId="5B0F4118" w14:textId="77777777" w:rsidR="00247FB4" w:rsidRDefault="00247FB4" w:rsidP="00247FB4">
      <w:pPr>
        <w:rPr>
          <w:rFonts w:ascii="Times New Roman" w:hAnsi="Times New Roman"/>
          <w:lang w:val="en-US"/>
        </w:rPr>
      </w:pPr>
    </w:p>
    <w:p w14:paraId="73412030" w14:textId="77777777" w:rsidR="00247FB4" w:rsidRPr="009341AF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Cs w:val="24"/>
        </w:rPr>
      </w:pPr>
    </w:p>
    <w:p w14:paraId="247CD5EA" w14:textId="77777777" w:rsidR="00247FB4" w:rsidRDefault="00247FB4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p w14:paraId="231E1C1B" w14:textId="77777777" w:rsidR="00FB30E7" w:rsidRDefault="00FB30E7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p w14:paraId="5528FF71" w14:textId="77777777" w:rsidR="00FB30E7" w:rsidRDefault="00FB30E7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p w14:paraId="20DC69E8" w14:textId="77777777" w:rsidR="00FB30E7" w:rsidRDefault="00FB30E7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p w14:paraId="676010B8" w14:textId="77777777" w:rsidR="00FB30E7" w:rsidRDefault="00FB30E7" w:rsidP="00FB30E7">
      <w:pPr>
        <w:rPr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90"/>
      </w:tblGrid>
      <w:tr w:rsidR="00FB30E7" w14:paraId="2795B132" w14:textId="77777777" w:rsidTr="008712EA">
        <w:tc>
          <w:tcPr>
            <w:tcW w:w="4923" w:type="dxa"/>
          </w:tcPr>
          <w:p w14:paraId="6B6E5E9F" w14:textId="77777777" w:rsidR="00FB30E7" w:rsidRPr="00DA5226" w:rsidRDefault="00FB30E7" w:rsidP="008712EA">
            <w:pPr>
              <w:rPr>
                <w:sz w:val="28"/>
                <w:szCs w:val="28"/>
                <w:lang w:val="sr-Latn-CS"/>
              </w:rPr>
            </w:pPr>
            <w:r w:rsidRPr="00DA5226">
              <w:rPr>
                <w:sz w:val="28"/>
                <w:szCs w:val="28"/>
                <w:lang w:val="sr-Latn-CS"/>
              </w:rPr>
              <w:t>PROJEKAT STAMBENE OBNOVE OD POSLEDICA ZEMLJOTRESA U KRALJEVU</w:t>
            </w:r>
          </w:p>
          <w:p w14:paraId="0430FCAA" w14:textId="77777777" w:rsidR="00FB30E7" w:rsidRPr="00DA5226" w:rsidRDefault="00FB30E7" w:rsidP="008712EA">
            <w:pPr>
              <w:rPr>
                <w:sz w:val="28"/>
                <w:szCs w:val="28"/>
                <w:lang w:val="sr-Latn-CS"/>
              </w:rPr>
            </w:pPr>
            <w:r w:rsidRPr="00DA5226">
              <w:rPr>
                <w:sz w:val="28"/>
                <w:szCs w:val="28"/>
                <w:lang w:val="sr-Latn-CS"/>
              </w:rPr>
              <w:t>Izgradnja stambene zgrade u Dositejevoj ulici  – Faza I</w:t>
            </w:r>
          </w:p>
          <w:p w14:paraId="6659C5D2" w14:textId="77777777" w:rsidR="00FB30E7" w:rsidRPr="00DA5226" w:rsidRDefault="00FB30E7" w:rsidP="008712EA">
            <w:pPr>
              <w:rPr>
                <w:sz w:val="28"/>
                <w:szCs w:val="28"/>
                <w:lang w:val="sr-Latn-CS"/>
              </w:rPr>
            </w:pPr>
            <w:r w:rsidRPr="00DA5226">
              <w:rPr>
                <w:sz w:val="28"/>
                <w:szCs w:val="28"/>
                <w:lang w:val="sr-Latn-CS"/>
              </w:rPr>
              <w:t xml:space="preserve">Javni poziv za medjunarodnu javnu nabavku </w:t>
            </w:r>
          </w:p>
          <w:p w14:paraId="1D06EEBF" w14:textId="4B87C9E7" w:rsidR="00FB30E7" w:rsidRPr="00DA5226" w:rsidRDefault="00D07EFE" w:rsidP="008712EA">
            <w:pPr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Del.br. 404-02-64/2017-02 od</w:t>
            </w:r>
            <w:r w:rsidR="00FB30E7" w:rsidRPr="00DA5226">
              <w:rPr>
                <w:sz w:val="28"/>
                <w:szCs w:val="28"/>
                <w:lang w:val="sr-Latn-CS"/>
              </w:rPr>
              <w:t xml:space="preserve"> 10.04.2017.</w:t>
            </w:r>
          </w:p>
          <w:p w14:paraId="2E01C69E" w14:textId="77777777" w:rsidR="00FB30E7" w:rsidRPr="00DA5226" w:rsidRDefault="00FB30E7" w:rsidP="008712EA">
            <w:pPr>
              <w:rPr>
                <w:sz w:val="28"/>
                <w:szCs w:val="28"/>
                <w:lang w:val="sr-Latn-CS"/>
              </w:rPr>
            </w:pPr>
          </w:p>
        </w:tc>
        <w:tc>
          <w:tcPr>
            <w:tcW w:w="4924" w:type="dxa"/>
          </w:tcPr>
          <w:p w14:paraId="152D5BD7" w14:textId="77777777" w:rsidR="00FB30E7" w:rsidRPr="00DA5226" w:rsidRDefault="00FB30E7" w:rsidP="008712EA">
            <w:pPr>
              <w:rPr>
                <w:sz w:val="28"/>
                <w:szCs w:val="28"/>
                <w:lang w:val="sr-Latn-RS"/>
              </w:rPr>
            </w:pPr>
            <w:r w:rsidRPr="00DA5226">
              <w:rPr>
                <w:sz w:val="28"/>
                <w:szCs w:val="28"/>
                <w:lang w:val="sr-Latn-RS"/>
              </w:rPr>
              <w:t>POST-EARTHQUAKE HOUSING REGENERATION IN KRALJEVO PROJECT</w:t>
            </w:r>
          </w:p>
          <w:p w14:paraId="082902AD" w14:textId="77777777" w:rsidR="00FB30E7" w:rsidRPr="00DA5226" w:rsidRDefault="00FB30E7" w:rsidP="008712EA">
            <w:pPr>
              <w:rPr>
                <w:sz w:val="28"/>
                <w:szCs w:val="28"/>
                <w:lang w:val="sr-Latn-RS"/>
              </w:rPr>
            </w:pPr>
            <w:r w:rsidRPr="00DA5226">
              <w:rPr>
                <w:sz w:val="28"/>
                <w:szCs w:val="28"/>
                <w:lang w:val="sr-Latn-RS"/>
              </w:rPr>
              <w:t>Construction of Apartment Building in Dositejeva street – Phase 1</w:t>
            </w:r>
          </w:p>
          <w:p w14:paraId="285869D6" w14:textId="77777777" w:rsidR="00FB30E7" w:rsidRPr="00DA5226" w:rsidRDefault="00FB30E7" w:rsidP="008712EA">
            <w:pPr>
              <w:rPr>
                <w:sz w:val="28"/>
                <w:szCs w:val="28"/>
                <w:lang w:val="sr-Latn-RS"/>
              </w:rPr>
            </w:pPr>
            <w:r w:rsidRPr="00DA5226">
              <w:rPr>
                <w:sz w:val="28"/>
                <w:szCs w:val="28"/>
                <w:lang w:val="sr-Latn-RS"/>
              </w:rPr>
              <w:t>Public Call for International Public Procurement</w:t>
            </w:r>
          </w:p>
          <w:p w14:paraId="62E0F90D" w14:textId="77777777" w:rsidR="00FB30E7" w:rsidRPr="00DA5226" w:rsidRDefault="00FB30E7" w:rsidP="008712EA">
            <w:pPr>
              <w:rPr>
                <w:sz w:val="28"/>
                <w:szCs w:val="28"/>
                <w:lang w:val="sr-Latn-RS"/>
              </w:rPr>
            </w:pPr>
            <w:r w:rsidRPr="00DA5226">
              <w:rPr>
                <w:sz w:val="28"/>
                <w:szCs w:val="28"/>
                <w:lang w:val="sr-Latn-RS"/>
              </w:rPr>
              <w:t>Ref. No: 404-02-64/2017-02 of 10.04.2017.</w:t>
            </w:r>
          </w:p>
          <w:p w14:paraId="6BBF5E68" w14:textId="77777777" w:rsidR="00FB30E7" w:rsidRPr="00DA5226" w:rsidRDefault="00FB30E7" w:rsidP="008712EA">
            <w:pPr>
              <w:rPr>
                <w:sz w:val="28"/>
                <w:szCs w:val="28"/>
                <w:lang w:val="sr-Latn-CS"/>
              </w:rPr>
            </w:pPr>
          </w:p>
        </w:tc>
      </w:tr>
      <w:tr w:rsidR="00FB30E7" w14:paraId="131754CA" w14:textId="77777777" w:rsidTr="008712EA">
        <w:tc>
          <w:tcPr>
            <w:tcW w:w="4923" w:type="dxa"/>
          </w:tcPr>
          <w:p w14:paraId="1B99815A" w14:textId="0D139922" w:rsidR="00FB30E7" w:rsidRPr="005D3B3A" w:rsidRDefault="00FB30E7" w:rsidP="008712EA">
            <w:pPr>
              <w:rPr>
                <w:b/>
                <w:szCs w:val="24"/>
                <w:lang w:val="sr-Latn-RS"/>
              </w:rPr>
            </w:pPr>
            <w:r w:rsidRPr="005D3B3A">
              <w:rPr>
                <w:b/>
                <w:szCs w:val="24"/>
                <w:lang w:val="sr-Latn-RS"/>
              </w:rPr>
              <w:t>ODGOV</w:t>
            </w:r>
            <w:r>
              <w:rPr>
                <w:b/>
                <w:szCs w:val="24"/>
                <w:lang w:val="sr-Latn-RS"/>
              </w:rPr>
              <w:t>ORI NA PITANJA PONUĐAČA    BR. 2</w:t>
            </w:r>
          </w:p>
          <w:p w14:paraId="6B041436" w14:textId="77777777" w:rsidR="00FB30E7" w:rsidRDefault="00FB30E7" w:rsidP="008712EA">
            <w:pPr>
              <w:rPr>
                <w:lang w:val="sr-Latn-RS"/>
              </w:rPr>
            </w:pPr>
          </w:p>
          <w:p w14:paraId="16885681" w14:textId="77777777" w:rsidR="00FB30E7" w:rsidRPr="00490A92" w:rsidRDefault="00FB30E7" w:rsidP="008712EA">
            <w:pPr>
              <w:rPr>
                <w:lang w:val="sr-Latn-RS"/>
              </w:rPr>
            </w:pPr>
            <w:r w:rsidRPr="00490A92">
              <w:rPr>
                <w:lang w:val="sr-Latn-RS"/>
              </w:rPr>
              <w:t>Ovi odgovori se odnose na pitanj</w:t>
            </w:r>
            <w:r>
              <w:rPr>
                <w:lang w:val="sr-Latn-RS"/>
              </w:rPr>
              <w:t>e</w:t>
            </w:r>
            <w:r w:rsidRPr="00490A92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stiglo 14.07.2017</w:t>
            </w:r>
            <w:r w:rsidRPr="00490A92">
              <w:rPr>
                <w:lang w:val="sr-Latn-RS"/>
              </w:rPr>
              <w:t>.</w:t>
            </w:r>
            <w:r>
              <w:rPr>
                <w:lang w:val="sr-Latn-RS"/>
              </w:rPr>
              <w:t xml:space="preserve"> na srpskom jeziku.</w:t>
            </w:r>
          </w:p>
          <w:p w14:paraId="076B4226" w14:textId="77777777" w:rsidR="00FB30E7" w:rsidRDefault="00FB30E7" w:rsidP="008712EA">
            <w:pPr>
              <w:rPr>
                <w:lang w:val="sr-Latn-CS"/>
              </w:rPr>
            </w:pPr>
          </w:p>
        </w:tc>
        <w:tc>
          <w:tcPr>
            <w:tcW w:w="4924" w:type="dxa"/>
          </w:tcPr>
          <w:p w14:paraId="6A7ED84E" w14:textId="7759FF7B" w:rsidR="00FB30E7" w:rsidRPr="00D07EFE" w:rsidRDefault="00FB30E7" w:rsidP="008712EA">
            <w:pPr>
              <w:rPr>
                <w:b/>
                <w:szCs w:val="24"/>
                <w:lang w:val="sr-Latn-CS"/>
              </w:rPr>
            </w:pPr>
            <w:r w:rsidRPr="005D3B3A">
              <w:rPr>
                <w:b/>
                <w:szCs w:val="24"/>
                <w:lang w:val="sr-Latn-CS"/>
              </w:rPr>
              <w:t>ANSWE</w:t>
            </w:r>
            <w:r>
              <w:rPr>
                <w:b/>
                <w:szCs w:val="24"/>
                <w:lang w:val="sr-Latn-CS"/>
              </w:rPr>
              <w:t>RS TO TENDERERS' QUESTIONS NO. 2</w:t>
            </w:r>
            <w:bookmarkStart w:id="0" w:name="_GoBack"/>
            <w:bookmarkEnd w:id="0"/>
          </w:p>
          <w:p w14:paraId="1F3D07F2" w14:textId="77777777" w:rsidR="00FB30E7" w:rsidRDefault="00FB30E7" w:rsidP="008712EA">
            <w:pPr>
              <w:rPr>
                <w:lang w:val="sr-Latn-CS"/>
              </w:rPr>
            </w:pPr>
          </w:p>
          <w:p w14:paraId="0366A011" w14:textId="77777777" w:rsidR="00FB30E7" w:rsidRDefault="00FB30E7" w:rsidP="008712EA">
            <w:pPr>
              <w:rPr>
                <w:lang w:val="sr-Latn-CS"/>
              </w:rPr>
            </w:pPr>
            <w:r w:rsidRPr="005D3B3A">
              <w:rPr>
                <w:lang w:val="sr-Latn-CS"/>
              </w:rPr>
              <w:t>Th</w:t>
            </w:r>
            <w:r>
              <w:rPr>
                <w:lang w:val="sr-Latn-CS"/>
              </w:rPr>
              <w:t>is</w:t>
            </w:r>
            <w:r w:rsidRPr="005D3B3A">
              <w:rPr>
                <w:lang w:val="sr-Latn-CS"/>
              </w:rPr>
              <w:t xml:space="preserve"> answer relate</w:t>
            </w:r>
            <w:r>
              <w:rPr>
                <w:lang w:val="sr-Latn-CS"/>
              </w:rPr>
              <w:t>s</w:t>
            </w:r>
            <w:r w:rsidRPr="005D3B3A">
              <w:rPr>
                <w:lang w:val="sr-Latn-CS"/>
              </w:rPr>
              <w:t xml:space="preserve"> to</w:t>
            </w:r>
            <w:r>
              <w:rPr>
                <w:lang w:val="sr-Latn-CS"/>
              </w:rPr>
              <w:t xml:space="preserve"> the</w:t>
            </w:r>
            <w:r w:rsidRPr="005D3B3A">
              <w:rPr>
                <w:lang w:val="sr-Latn-CS"/>
              </w:rPr>
              <w:t xml:space="preserve"> question </w:t>
            </w:r>
            <w:r>
              <w:rPr>
                <w:lang w:val="sr-Latn-CS"/>
              </w:rPr>
              <w:t>received on 14.07.2017. in</w:t>
            </w:r>
            <w:r w:rsidRPr="005D3B3A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S</w:t>
            </w:r>
            <w:r w:rsidRPr="005D3B3A">
              <w:rPr>
                <w:lang w:val="sr-Latn-CS"/>
              </w:rPr>
              <w:t>erbian language.</w:t>
            </w:r>
          </w:p>
        </w:tc>
      </w:tr>
    </w:tbl>
    <w:p w14:paraId="011C8E19" w14:textId="77777777" w:rsidR="00FB30E7" w:rsidRDefault="00FB30E7" w:rsidP="00FB30E7">
      <w:pPr>
        <w:rPr>
          <w:lang w:val="sr-Latn-RS"/>
        </w:rPr>
      </w:pPr>
    </w:p>
    <w:p w14:paraId="3F83F7D9" w14:textId="77777777" w:rsidR="00FB30E7" w:rsidRPr="00490A92" w:rsidRDefault="00FB30E7" w:rsidP="00FB30E7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625"/>
      </w:tblGrid>
      <w:tr w:rsidR="00FB30E7" w:rsidRPr="00D44D97" w14:paraId="589F03CE" w14:textId="77777777" w:rsidTr="008712EA">
        <w:tc>
          <w:tcPr>
            <w:tcW w:w="4928" w:type="dxa"/>
          </w:tcPr>
          <w:p w14:paraId="44C82476" w14:textId="77777777" w:rsidR="00FB30E7" w:rsidRDefault="00FB30E7" w:rsidP="008712EA">
            <w:proofErr w:type="gramStart"/>
            <w:r w:rsidRPr="00D44D97">
              <w:t>PI</w:t>
            </w:r>
            <w:r w:rsidRPr="00D44D97">
              <w:rPr>
                <w:spacing w:val="-7"/>
              </w:rPr>
              <w:t>T</w:t>
            </w:r>
            <w:r w:rsidRPr="00D44D97">
              <w:t xml:space="preserve">ANJE </w:t>
            </w:r>
            <w:r w:rsidRPr="00D44D97">
              <w:rPr>
                <w:spacing w:val="33"/>
              </w:rPr>
              <w:t xml:space="preserve"> </w:t>
            </w:r>
            <w:r>
              <w:rPr>
                <w:spacing w:val="33"/>
              </w:rPr>
              <w:t>2</w:t>
            </w:r>
            <w:r>
              <w:t>.</w:t>
            </w:r>
            <w:r w:rsidRPr="00D44D97">
              <w:t>1</w:t>
            </w:r>
            <w:proofErr w:type="gramEnd"/>
            <w:r w:rsidRPr="00D44D97">
              <w:t>:</w:t>
            </w:r>
            <w:r w:rsidRPr="00D44D97">
              <w:rPr>
                <w:spacing w:val="25"/>
              </w:rPr>
              <w:t xml:space="preserve"> </w:t>
            </w:r>
            <w:r w:rsidRPr="006F7759">
              <w:t xml:space="preserve">Da li </w:t>
            </w:r>
            <w:proofErr w:type="spellStart"/>
            <w:r w:rsidRPr="006F7759">
              <w:t>ponu</w:t>
            </w:r>
            <w:r>
              <w:t>đ</w:t>
            </w:r>
            <w:r w:rsidRPr="006F7759">
              <w:t>a</w:t>
            </w:r>
            <w:r>
              <w:t>č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ukoliko</w:t>
            </w:r>
            <w:proofErr w:type="spellEnd"/>
            <w:r w:rsidRPr="006F7759">
              <w:t xml:space="preserve"> je bio </w:t>
            </w:r>
            <w:proofErr w:type="spellStart"/>
            <w:r w:rsidRPr="006F7759">
              <w:t>i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Investitor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i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lzvo</w:t>
            </w:r>
            <w:r>
              <w:t>đać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radova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mo</w:t>
            </w:r>
            <w:r>
              <w:t>ž</w:t>
            </w:r>
            <w:r w:rsidRPr="006F7759">
              <w:t>e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dostaviti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potvrdu</w:t>
            </w:r>
            <w:proofErr w:type="spellEnd"/>
            <w:r w:rsidRPr="006F7759">
              <w:t xml:space="preserve">, da je </w:t>
            </w:r>
            <w:proofErr w:type="spellStart"/>
            <w:r w:rsidRPr="006F7759">
              <w:t>predao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zahtev</w:t>
            </w:r>
            <w:proofErr w:type="spellEnd"/>
            <w:r w:rsidRPr="006F7759">
              <w:t xml:space="preserve"> za  </w:t>
            </w:r>
            <w:proofErr w:type="spellStart"/>
            <w:r w:rsidRPr="006F7759">
              <w:t>izdavanje</w:t>
            </w:r>
            <w:proofErr w:type="spellEnd"/>
            <w:r w:rsidRPr="006F7759">
              <w:t xml:space="preserve">  </w:t>
            </w:r>
            <w:proofErr w:type="spellStart"/>
            <w:r w:rsidRPr="006F7759">
              <w:t>re</w:t>
            </w:r>
            <w:r>
              <w:t>š</w:t>
            </w:r>
            <w:r w:rsidRPr="006F7759">
              <w:t>enja</w:t>
            </w:r>
            <w:proofErr w:type="spellEnd"/>
            <w:r w:rsidRPr="006F7759">
              <w:t xml:space="preserve"> o  </w:t>
            </w:r>
            <w:proofErr w:type="spellStart"/>
            <w:r w:rsidRPr="006F7759">
              <w:t>ozakonjenju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izgra</w:t>
            </w:r>
            <w:r>
              <w:t>đ</w:t>
            </w:r>
            <w:r w:rsidRPr="006F7759">
              <w:t>enog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objekta</w:t>
            </w:r>
            <w:proofErr w:type="spellEnd"/>
            <w:r w:rsidRPr="006F7759">
              <w:t xml:space="preserve">, </w:t>
            </w:r>
            <w:proofErr w:type="spellStart"/>
            <w:r w:rsidRPr="006F7759">
              <w:t>obzirom</w:t>
            </w:r>
            <w:proofErr w:type="spellEnd"/>
            <w:r w:rsidRPr="006F7759">
              <w:t xml:space="preserve"> da je </w:t>
            </w:r>
            <w:proofErr w:type="spellStart"/>
            <w:r w:rsidRPr="006F7759">
              <w:t>prekora</w:t>
            </w:r>
            <w:r>
              <w:t>č</w:t>
            </w:r>
            <w:r w:rsidRPr="006F7759">
              <w:t>io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dozvoljenu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kvadraturu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po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gra</w:t>
            </w:r>
            <w:r>
              <w:t>đ</w:t>
            </w:r>
            <w:r w:rsidRPr="006F7759">
              <w:t>evinskoj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dozvoli</w:t>
            </w:r>
            <w:proofErr w:type="spellEnd"/>
            <w:r w:rsidRPr="006F7759">
              <w:t xml:space="preserve">, </w:t>
            </w:r>
            <w:proofErr w:type="spellStart"/>
            <w:r w:rsidRPr="006F7759">
              <w:t>kao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dokaz</w:t>
            </w:r>
            <w:proofErr w:type="spellEnd"/>
            <w:r w:rsidRPr="006F7759">
              <w:t xml:space="preserve"> da je </w:t>
            </w:r>
            <w:proofErr w:type="spellStart"/>
            <w:r w:rsidRPr="006F7759">
              <w:t>izveo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radove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na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izgradnji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tog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objekta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i</w:t>
            </w:r>
            <w:proofErr w:type="spellEnd"/>
            <w:r w:rsidRPr="006F7759">
              <w:t xml:space="preserve"> da li </w:t>
            </w:r>
            <w:proofErr w:type="spellStart"/>
            <w:r>
              <w:t>ć</w:t>
            </w:r>
            <w:r w:rsidRPr="006F7759">
              <w:t>e</w:t>
            </w:r>
            <w:proofErr w:type="spellEnd"/>
            <w:r w:rsidRPr="006F7759">
              <w:t xml:space="preserve"> se to </w:t>
            </w:r>
            <w:proofErr w:type="spellStart"/>
            <w:r w:rsidRPr="006F7759">
              <w:t>priznati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kao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dokaz</w:t>
            </w:r>
            <w:proofErr w:type="spellEnd"/>
            <w:r w:rsidRPr="006F7759">
              <w:t xml:space="preserve"> u </w:t>
            </w:r>
            <w:proofErr w:type="spellStart"/>
            <w:r w:rsidRPr="006F7759">
              <w:t>delu</w:t>
            </w:r>
            <w:proofErr w:type="spellEnd"/>
            <w:r w:rsidRPr="006F7759">
              <w:t xml:space="preserve"> "</w:t>
            </w:r>
            <w:proofErr w:type="spellStart"/>
            <w:r w:rsidRPr="006F7759">
              <w:t>lskustvo</w:t>
            </w:r>
            <w:proofErr w:type="spellEnd"/>
            <w:r w:rsidRPr="006F7759">
              <w:t xml:space="preserve"> </w:t>
            </w:r>
            <w:proofErr w:type="spellStart"/>
            <w:r w:rsidRPr="006F7759">
              <w:t>ponu</w:t>
            </w:r>
            <w:r>
              <w:t>đ</w:t>
            </w:r>
            <w:r w:rsidRPr="006F7759">
              <w:t>aca</w:t>
            </w:r>
            <w:proofErr w:type="spellEnd"/>
            <w:r w:rsidRPr="006F7759">
              <w:t>"?</w:t>
            </w:r>
          </w:p>
          <w:p w14:paraId="4D2BA5FF" w14:textId="77777777" w:rsidR="00FB30E7" w:rsidRPr="00D44D97" w:rsidRDefault="00FB30E7" w:rsidP="008712EA"/>
          <w:p w14:paraId="1E8C0D64" w14:textId="77777777" w:rsidR="00FB30E7" w:rsidRPr="00D44D97" w:rsidRDefault="00FB30E7" w:rsidP="008712EA"/>
          <w:p w14:paraId="7DEA826D" w14:textId="77777777" w:rsidR="00FB30E7" w:rsidRPr="00D44D97" w:rsidRDefault="00FB30E7" w:rsidP="008712EA">
            <w:r w:rsidRPr="00D44D97">
              <w:t xml:space="preserve">ODGOVOR </w:t>
            </w:r>
            <w:r>
              <w:t>2.</w:t>
            </w:r>
            <w:r w:rsidRPr="00D44D97">
              <w:t xml:space="preserve">1: </w:t>
            </w:r>
            <w:r>
              <w:t>Ne.</w:t>
            </w:r>
            <w:r w:rsidRPr="00D44D97">
              <w:t xml:space="preserve"> </w:t>
            </w:r>
            <w:proofErr w:type="spellStart"/>
            <w:r>
              <w:t>Potvrda</w:t>
            </w:r>
            <w:proofErr w:type="spellEnd"/>
            <w:r>
              <w:t xml:space="preserve"> o </w:t>
            </w:r>
            <w:proofErr w:type="spellStart"/>
            <w:r>
              <w:t>predatom</w:t>
            </w:r>
            <w:proofErr w:type="spellEnd"/>
            <w:r>
              <w:t xml:space="preserve"> </w:t>
            </w:r>
            <w:proofErr w:type="spellStart"/>
            <w:r>
              <w:t>zahtevu</w:t>
            </w:r>
            <w:proofErr w:type="spellEnd"/>
            <w:r>
              <w:t xml:space="preserve"> za </w:t>
            </w:r>
            <w:proofErr w:type="spellStart"/>
            <w:r>
              <w:t>izdavanje</w:t>
            </w:r>
            <w:proofErr w:type="spellEnd"/>
            <w:r>
              <w:t xml:space="preserve"> </w:t>
            </w:r>
            <w:proofErr w:type="spellStart"/>
            <w:r>
              <w:t>rešenja</w:t>
            </w:r>
            <w:proofErr w:type="spellEnd"/>
            <w:r>
              <w:t xml:space="preserve"> o </w:t>
            </w:r>
            <w:proofErr w:type="spellStart"/>
            <w:r>
              <w:t>ozakokonjenju</w:t>
            </w:r>
            <w:proofErr w:type="spellEnd"/>
            <w:r>
              <w:t xml:space="preserve"> </w:t>
            </w:r>
            <w:proofErr w:type="spellStart"/>
            <w:r>
              <w:t>izgrađenog</w:t>
            </w:r>
            <w:proofErr w:type="spellEnd"/>
            <w:r>
              <w:t xml:space="preserve"> </w:t>
            </w:r>
            <w:proofErr w:type="spellStart"/>
            <w:r>
              <w:t>objekta</w:t>
            </w:r>
            <w:proofErr w:type="spellEnd"/>
            <w:r>
              <w:t xml:space="preserve"> ne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izvedenim</w:t>
            </w:r>
            <w:proofErr w:type="spellEnd"/>
            <w:r>
              <w:t xml:space="preserve"> </w:t>
            </w:r>
            <w:proofErr w:type="spellStart"/>
            <w:r>
              <w:t>radovima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izgradnji</w:t>
            </w:r>
            <w:proofErr w:type="spellEnd"/>
            <w:r>
              <w:t xml:space="preserve">, </w:t>
            </w:r>
            <w:proofErr w:type="spellStart"/>
            <w:r>
              <w:t>koji</w:t>
            </w:r>
            <w:proofErr w:type="spellEnd"/>
            <w:r>
              <w:t xml:space="preserve"> se </w:t>
            </w:r>
            <w:proofErr w:type="spellStart"/>
            <w:r>
              <w:t>tiče</w:t>
            </w:r>
            <w:proofErr w:type="spellEnd"/>
            <w:r>
              <w:t xml:space="preserve"> </w:t>
            </w:r>
            <w:proofErr w:type="spellStart"/>
            <w:r>
              <w:t>kvalifikacionog</w:t>
            </w:r>
            <w:proofErr w:type="spellEnd"/>
            <w:r>
              <w:t xml:space="preserve"> </w:t>
            </w:r>
            <w:proofErr w:type="spellStart"/>
            <w:r>
              <w:t>kriterijuma</w:t>
            </w:r>
            <w:proofErr w:type="spellEnd"/>
            <w:r>
              <w:t xml:space="preserve"> "</w:t>
            </w:r>
            <w:proofErr w:type="spellStart"/>
            <w:r>
              <w:t>Iskustvo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 xml:space="preserve">", </w:t>
            </w:r>
            <w:proofErr w:type="spellStart"/>
            <w:r>
              <w:t>traženog</w:t>
            </w:r>
            <w:proofErr w:type="spellEnd"/>
            <w:r>
              <w:t xml:space="preserve"> </w:t>
            </w:r>
            <w:proofErr w:type="spellStart"/>
            <w:r>
              <w:t>tenderskim</w:t>
            </w:r>
            <w:proofErr w:type="spellEnd"/>
            <w:r>
              <w:t xml:space="preserve"> </w:t>
            </w:r>
            <w:proofErr w:type="spellStart"/>
            <w:r>
              <w:t>dokumentom</w:t>
            </w:r>
            <w:proofErr w:type="spellEnd"/>
            <w:r>
              <w:t xml:space="preserve">, u Volume 1, Section 1, Item 12.4 </w:t>
            </w:r>
            <w:r w:rsidRPr="00FE2AAE">
              <w:t>qualification criteria</w:t>
            </w:r>
            <w:r>
              <w:t xml:space="preserve">, under chapter f) </w:t>
            </w:r>
            <w:r w:rsidRPr="00FE2AAE">
              <w:t>Prior experience.</w:t>
            </w:r>
            <w:r>
              <w:t xml:space="preserve"> </w:t>
            </w:r>
            <w:r w:rsidRPr="00D44D97">
              <w:t>(</w:t>
            </w:r>
            <w:proofErr w:type="spellStart"/>
            <w:r w:rsidRPr="00D44D97">
              <w:rPr>
                <w:i/>
              </w:rPr>
              <w:t>Sveska</w:t>
            </w:r>
            <w:proofErr w:type="spellEnd"/>
            <w:r w:rsidRPr="00D44D97">
              <w:rPr>
                <w:i/>
              </w:rPr>
              <w:t xml:space="preserve"> 1, </w:t>
            </w:r>
            <w:proofErr w:type="spellStart"/>
            <w:r w:rsidRPr="00D44D97">
              <w:rPr>
                <w:i/>
              </w:rPr>
              <w:t>Odeljak</w:t>
            </w:r>
            <w:proofErr w:type="spellEnd"/>
            <w:r w:rsidRPr="00D44D97">
              <w:rPr>
                <w:i/>
              </w:rPr>
              <w:t xml:space="preserve"> </w:t>
            </w:r>
            <w:r>
              <w:rPr>
                <w:i/>
              </w:rPr>
              <w:t xml:space="preserve">1, </w:t>
            </w:r>
            <w:proofErr w:type="spellStart"/>
            <w:r>
              <w:rPr>
                <w:i/>
              </w:rPr>
              <w:t>tačka</w:t>
            </w:r>
            <w:proofErr w:type="spellEnd"/>
            <w:r>
              <w:rPr>
                <w:i/>
              </w:rPr>
              <w:t xml:space="preserve"> 12.4. </w:t>
            </w:r>
            <w:proofErr w:type="spellStart"/>
            <w:r>
              <w:rPr>
                <w:i/>
              </w:rPr>
              <w:t>kvalifikacioni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kriterijumi</w:t>
            </w:r>
            <w:proofErr w:type="spellEnd"/>
            <w:r>
              <w:rPr>
                <w:i/>
              </w:rPr>
              <w:t xml:space="preserve">, pod f) </w:t>
            </w:r>
            <w:proofErr w:type="spellStart"/>
            <w:r>
              <w:rPr>
                <w:i/>
              </w:rPr>
              <w:t>Iskustvo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ponuđača</w:t>
            </w:r>
            <w:proofErr w:type="spellEnd"/>
            <w:r w:rsidRPr="00D44D97">
              <w:rPr>
                <w:i/>
              </w:rPr>
              <w:t>.</w:t>
            </w:r>
            <w:r w:rsidRPr="00D44D97">
              <w:t xml:space="preserve"> </w:t>
            </w:r>
          </w:p>
          <w:p w14:paraId="289A8C48" w14:textId="77777777" w:rsidR="00FB30E7" w:rsidRPr="00D44D97" w:rsidRDefault="00FB30E7" w:rsidP="008712EA">
            <w:pPr>
              <w:rPr>
                <w:i/>
              </w:rPr>
            </w:pPr>
          </w:p>
          <w:p w14:paraId="4C046339" w14:textId="77777777" w:rsidR="00FB30E7" w:rsidRPr="00FE2AAE" w:rsidRDefault="00FB30E7" w:rsidP="008712EA">
            <w:proofErr w:type="spellStart"/>
            <w:r>
              <w:t>Objekti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izgrađeni</w:t>
            </w:r>
            <w:proofErr w:type="spellEnd"/>
            <w:r>
              <w:t xml:space="preserve">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 </w:t>
            </w:r>
            <w:proofErr w:type="spellStart"/>
            <w:r>
              <w:t>propisanom</w:t>
            </w:r>
            <w:proofErr w:type="spellEnd"/>
            <w:r>
              <w:t xml:space="preserve"> </w:t>
            </w:r>
            <w:proofErr w:type="spellStart"/>
            <w:r>
              <w:t>procedurom</w:t>
            </w:r>
            <w:proofErr w:type="spellEnd"/>
            <w:r>
              <w:t xml:space="preserve">, ne </w:t>
            </w:r>
            <w:proofErr w:type="spellStart"/>
            <w:r>
              <w:t>mogu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biti</w:t>
            </w:r>
            <w:proofErr w:type="spellEnd"/>
            <w:r>
              <w:t xml:space="preserve">  </w:t>
            </w:r>
            <w:proofErr w:type="spellStart"/>
            <w:r>
              <w:t>razmatrani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relevantno</w:t>
            </w:r>
            <w:proofErr w:type="spellEnd"/>
            <w:r>
              <w:t xml:space="preserve"> </w:t>
            </w:r>
            <w:proofErr w:type="spellStart"/>
            <w:r>
              <w:t>iskustvo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.</w:t>
            </w:r>
          </w:p>
          <w:p w14:paraId="5F5F5CF8" w14:textId="77777777" w:rsidR="00FB30E7" w:rsidRPr="00D44D97" w:rsidRDefault="00FB30E7" w:rsidP="008712EA"/>
        </w:tc>
        <w:tc>
          <w:tcPr>
            <w:tcW w:w="4819" w:type="dxa"/>
          </w:tcPr>
          <w:p w14:paraId="687E7912" w14:textId="77777777" w:rsidR="00FB30E7" w:rsidRPr="00D44D97" w:rsidRDefault="00FB30E7" w:rsidP="008712EA">
            <w:r w:rsidRPr="00D44D97">
              <w:lastRenderedPageBreak/>
              <w:t xml:space="preserve">QUESTION </w:t>
            </w:r>
            <w:r>
              <w:t>2.1</w:t>
            </w:r>
            <w:r w:rsidRPr="00D44D97">
              <w:t xml:space="preserve">: </w:t>
            </w:r>
            <w:r>
              <w:t>If the T</w:t>
            </w:r>
            <w:r w:rsidRPr="00FE2AAE">
              <w:t>enderer was the investor and the</w:t>
            </w:r>
            <w:r>
              <w:t xml:space="preserve"> contractor at the same time,</w:t>
            </w:r>
            <w:r w:rsidRPr="00FE2AAE">
              <w:t xml:space="preserve"> </w:t>
            </w:r>
            <w:r>
              <w:t>can he/she</w:t>
            </w:r>
            <w:r w:rsidRPr="00FE2AAE">
              <w:t xml:space="preserve"> submit a certificate</w:t>
            </w:r>
            <w:r>
              <w:t xml:space="preserve"> on submitted </w:t>
            </w:r>
            <w:r w:rsidRPr="00FE2AAE">
              <w:t xml:space="preserve">request for issuing a </w:t>
            </w:r>
            <w:r>
              <w:t>decision</w:t>
            </w:r>
            <w:r w:rsidRPr="00FE2AAE">
              <w:t xml:space="preserve"> on legalization of the </w:t>
            </w:r>
            <w:r>
              <w:t>built facility</w:t>
            </w:r>
            <w:r w:rsidRPr="00FE2AAE">
              <w:t xml:space="preserve">, </w:t>
            </w:r>
            <w:r>
              <w:t>given t</w:t>
            </w:r>
            <w:r w:rsidRPr="00FE2AAE">
              <w:t xml:space="preserve">he </w:t>
            </w:r>
            <w:r>
              <w:t xml:space="preserve">area </w:t>
            </w:r>
            <w:r w:rsidRPr="00FE2AAE">
              <w:t xml:space="preserve">allowed </w:t>
            </w:r>
            <w:r>
              <w:t>by</w:t>
            </w:r>
            <w:r w:rsidRPr="00FE2AAE">
              <w:t xml:space="preserve"> the building permit</w:t>
            </w:r>
            <w:r>
              <w:t xml:space="preserve"> was exceeded</w:t>
            </w:r>
            <w:r w:rsidRPr="00FE2AAE">
              <w:t>, as</w:t>
            </w:r>
            <w:r>
              <w:t xml:space="preserve"> an</w:t>
            </w:r>
            <w:r w:rsidRPr="00FE2AAE">
              <w:t xml:space="preserve"> evid</w:t>
            </w:r>
            <w:r>
              <w:t>ence that the Tenderer had carried out construction works on subject</w:t>
            </w:r>
            <w:r w:rsidRPr="00FE2AAE">
              <w:t xml:space="preserve"> building and </w:t>
            </w:r>
            <w:r>
              <w:t>w</w:t>
            </w:r>
            <w:r w:rsidRPr="00FE2AAE">
              <w:t xml:space="preserve">ill this be </w:t>
            </w:r>
            <w:r w:rsidRPr="00FE2AAE">
              <w:lastRenderedPageBreak/>
              <w:t xml:space="preserve">recognized as </w:t>
            </w:r>
            <w:r>
              <w:t xml:space="preserve">an </w:t>
            </w:r>
            <w:r w:rsidRPr="00FE2AAE">
              <w:t>evidence</w:t>
            </w:r>
            <w:r>
              <w:t xml:space="preserve"> of</w:t>
            </w:r>
            <w:r w:rsidRPr="00FE2AAE">
              <w:t xml:space="preserve"> "</w:t>
            </w:r>
            <w:r>
              <w:t>Prior experience</w:t>
            </w:r>
            <w:r w:rsidRPr="00FE2AAE">
              <w:t>"?</w:t>
            </w:r>
          </w:p>
          <w:p w14:paraId="56F7A5B8" w14:textId="77777777" w:rsidR="00FB30E7" w:rsidRPr="00D44D97" w:rsidRDefault="00FB30E7" w:rsidP="008712EA"/>
          <w:p w14:paraId="759D592F" w14:textId="77777777" w:rsidR="00FB30E7" w:rsidRDefault="00FB30E7" w:rsidP="008712EA">
            <w:r w:rsidRPr="00D44D97">
              <w:t xml:space="preserve">ANSWER </w:t>
            </w:r>
            <w:r>
              <w:t>2.1: No</w:t>
            </w:r>
            <w:r w:rsidRPr="00D44D97">
              <w:t xml:space="preserve">. </w:t>
            </w:r>
            <w:r>
              <w:t>A certificate on submission of request for legalization of the built facility could not be a proof of executed construction works that would relate to the qualification criteria "Prior experience" as requested in the Tender Document, in</w:t>
            </w:r>
            <w:r w:rsidRPr="00D44D97">
              <w:t xml:space="preserve"> Volume 1, </w:t>
            </w:r>
            <w:r>
              <w:t>Section 1, Item 12.4, under chapter f) Prior experience.</w:t>
            </w:r>
          </w:p>
          <w:p w14:paraId="30735C02" w14:textId="77777777" w:rsidR="00FB30E7" w:rsidRDefault="00FB30E7" w:rsidP="008712EA"/>
          <w:p w14:paraId="549D7CFC" w14:textId="77777777" w:rsidR="00FB30E7" w:rsidRPr="00D44D97" w:rsidRDefault="00FB30E7" w:rsidP="008712EA"/>
          <w:p w14:paraId="38D0BB98" w14:textId="77777777" w:rsidR="00FB30E7" w:rsidRPr="00D44D97" w:rsidRDefault="00FB30E7" w:rsidP="008712EA"/>
          <w:p w14:paraId="3AB98D36" w14:textId="77777777" w:rsidR="00FB30E7" w:rsidRPr="009868C9" w:rsidRDefault="00FB30E7" w:rsidP="008712EA">
            <w:r>
              <w:t>The buildings not built according to Law and legally prescribed procedure could not be taken in consideration as a relevant Tenderer's experience.</w:t>
            </w:r>
          </w:p>
          <w:p w14:paraId="7B6B2608" w14:textId="77777777" w:rsidR="00FB30E7" w:rsidRPr="00D44D97" w:rsidRDefault="00FB30E7" w:rsidP="008712EA"/>
        </w:tc>
      </w:tr>
    </w:tbl>
    <w:p w14:paraId="6761DC43" w14:textId="77777777" w:rsidR="00FB30E7" w:rsidRPr="00490A92" w:rsidRDefault="00FB30E7" w:rsidP="00FB30E7">
      <w:pPr>
        <w:rPr>
          <w:sz w:val="20"/>
        </w:rPr>
      </w:pPr>
    </w:p>
    <w:p w14:paraId="304BDBCB" w14:textId="77777777" w:rsidR="00FB30E7" w:rsidRPr="00490A92" w:rsidRDefault="00FB30E7" w:rsidP="00FB30E7">
      <w:pPr>
        <w:rPr>
          <w:sz w:val="20"/>
        </w:rPr>
      </w:pPr>
    </w:p>
    <w:p w14:paraId="42D7AEF7" w14:textId="77777777" w:rsidR="00FB30E7" w:rsidRDefault="00FB30E7" w:rsidP="00247FB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</w:p>
    <w:sectPr w:rsidR="00FB30E7" w:rsidSect="008F3F03">
      <w:headerReference w:type="default" r:id="rId10"/>
      <w:pgSz w:w="12240" w:h="15840"/>
      <w:pgMar w:top="1701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00A32" w14:textId="77777777" w:rsidR="00EB782D" w:rsidRDefault="00EB782D">
      <w:r>
        <w:separator/>
      </w:r>
    </w:p>
  </w:endnote>
  <w:endnote w:type="continuationSeparator" w:id="0">
    <w:p w14:paraId="1C7A5E36" w14:textId="77777777" w:rsidR="00EB782D" w:rsidRDefault="00EB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DC269" w14:textId="77777777" w:rsidR="00EB782D" w:rsidRDefault="00EB782D">
      <w:r>
        <w:separator/>
      </w:r>
    </w:p>
  </w:footnote>
  <w:footnote w:type="continuationSeparator" w:id="0">
    <w:p w14:paraId="4F56464B" w14:textId="77777777" w:rsidR="00EB782D" w:rsidRDefault="00EB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B22A1" w14:textId="77777777" w:rsidR="00FD4BD8" w:rsidRDefault="00A47A94" w:rsidP="00A47A94">
    <w:r>
      <w:t xml:space="preserve"> </w:t>
    </w:r>
  </w:p>
  <w:p w14:paraId="019C4113" w14:textId="77777777" w:rsidR="00FD4BD8" w:rsidRDefault="00EB78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C5883"/>
    <w:multiLevelType w:val="hybridMultilevel"/>
    <w:tmpl w:val="BE72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68FC"/>
    <w:multiLevelType w:val="hybridMultilevel"/>
    <w:tmpl w:val="8700AE98"/>
    <w:lvl w:ilvl="0" w:tplc="DA86FA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8" w:hanging="360"/>
      </w:pPr>
    </w:lvl>
    <w:lvl w:ilvl="2" w:tplc="241A001B" w:tentative="1">
      <w:start w:val="1"/>
      <w:numFmt w:val="lowerRoman"/>
      <w:lvlText w:val="%3."/>
      <w:lvlJc w:val="right"/>
      <w:pPr>
        <w:ind w:left="3218" w:hanging="180"/>
      </w:pPr>
    </w:lvl>
    <w:lvl w:ilvl="3" w:tplc="241A000F" w:tentative="1">
      <w:start w:val="1"/>
      <w:numFmt w:val="decimal"/>
      <w:lvlText w:val="%4."/>
      <w:lvlJc w:val="left"/>
      <w:pPr>
        <w:ind w:left="3938" w:hanging="360"/>
      </w:pPr>
    </w:lvl>
    <w:lvl w:ilvl="4" w:tplc="241A0019" w:tentative="1">
      <w:start w:val="1"/>
      <w:numFmt w:val="lowerLetter"/>
      <w:lvlText w:val="%5."/>
      <w:lvlJc w:val="left"/>
      <w:pPr>
        <w:ind w:left="4658" w:hanging="360"/>
      </w:pPr>
    </w:lvl>
    <w:lvl w:ilvl="5" w:tplc="241A001B" w:tentative="1">
      <w:start w:val="1"/>
      <w:numFmt w:val="lowerRoman"/>
      <w:lvlText w:val="%6."/>
      <w:lvlJc w:val="right"/>
      <w:pPr>
        <w:ind w:left="5378" w:hanging="180"/>
      </w:pPr>
    </w:lvl>
    <w:lvl w:ilvl="6" w:tplc="241A000F" w:tentative="1">
      <w:start w:val="1"/>
      <w:numFmt w:val="decimal"/>
      <w:lvlText w:val="%7."/>
      <w:lvlJc w:val="left"/>
      <w:pPr>
        <w:ind w:left="6098" w:hanging="360"/>
      </w:pPr>
    </w:lvl>
    <w:lvl w:ilvl="7" w:tplc="241A0019" w:tentative="1">
      <w:start w:val="1"/>
      <w:numFmt w:val="lowerLetter"/>
      <w:lvlText w:val="%8."/>
      <w:lvlJc w:val="left"/>
      <w:pPr>
        <w:ind w:left="6818" w:hanging="360"/>
      </w:pPr>
    </w:lvl>
    <w:lvl w:ilvl="8" w:tplc="2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87643DF"/>
    <w:multiLevelType w:val="hybridMultilevel"/>
    <w:tmpl w:val="8700AE98"/>
    <w:lvl w:ilvl="0" w:tplc="DA86FA9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8" w:hanging="360"/>
      </w:pPr>
    </w:lvl>
    <w:lvl w:ilvl="2" w:tplc="241A001B" w:tentative="1">
      <w:start w:val="1"/>
      <w:numFmt w:val="lowerRoman"/>
      <w:lvlText w:val="%3."/>
      <w:lvlJc w:val="right"/>
      <w:pPr>
        <w:ind w:left="3218" w:hanging="180"/>
      </w:pPr>
    </w:lvl>
    <w:lvl w:ilvl="3" w:tplc="241A000F" w:tentative="1">
      <w:start w:val="1"/>
      <w:numFmt w:val="decimal"/>
      <w:lvlText w:val="%4."/>
      <w:lvlJc w:val="left"/>
      <w:pPr>
        <w:ind w:left="3938" w:hanging="360"/>
      </w:pPr>
    </w:lvl>
    <w:lvl w:ilvl="4" w:tplc="241A0019" w:tentative="1">
      <w:start w:val="1"/>
      <w:numFmt w:val="lowerLetter"/>
      <w:lvlText w:val="%5."/>
      <w:lvlJc w:val="left"/>
      <w:pPr>
        <w:ind w:left="4658" w:hanging="360"/>
      </w:pPr>
    </w:lvl>
    <w:lvl w:ilvl="5" w:tplc="241A001B" w:tentative="1">
      <w:start w:val="1"/>
      <w:numFmt w:val="lowerRoman"/>
      <w:lvlText w:val="%6."/>
      <w:lvlJc w:val="right"/>
      <w:pPr>
        <w:ind w:left="5378" w:hanging="180"/>
      </w:pPr>
    </w:lvl>
    <w:lvl w:ilvl="6" w:tplc="241A000F" w:tentative="1">
      <w:start w:val="1"/>
      <w:numFmt w:val="decimal"/>
      <w:lvlText w:val="%7."/>
      <w:lvlJc w:val="left"/>
      <w:pPr>
        <w:ind w:left="6098" w:hanging="360"/>
      </w:pPr>
    </w:lvl>
    <w:lvl w:ilvl="7" w:tplc="241A0019" w:tentative="1">
      <w:start w:val="1"/>
      <w:numFmt w:val="lowerLetter"/>
      <w:lvlText w:val="%8."/>
      <w:lvlJc w:val="left"/>
      <w:pPr>
        <w:ind w:left="6818" w:hanging="360"/>
      </w:pPr>
    </w:lvl>
    <w:lvl w:ilvl="8" w:tplc="241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00A19"/>
    <w:rsid w:val="000522EE"/>
    <w:rsid w:val="00066AEB"/>
    <w:rsid w:val="0009197B"/>
    <w:rsid w:val="000B0DAD"/>
    <w:rsid w:val="000C1B3D"/>
    <w:rsid w:val="000D4A60"/>
    <w:rsid w:val="000E0190"/>
    <w:rsid w:val="00150CAE"/>
    <w:rsid w:val="00167B9E"/>
    <w:rsid w:val="001B6601"/>
    <w:rsid w:val="001F2BDB"/>
    <w:rsid w:val="00247FB4"/>
    <w:rsid w:val="002D7671"/>
    <w:rsid w:val="002F47D0"/>
    <w:rsid w:val="0032266F"/>
    <w:rsid w:val="00325474"/>
    <w:rsid w:val="0033333F"/>
    <w:rsid w:val="00347E95"/>
    <w:rsid w:val="003738C1"/>
    <w:rsid w:val="00380EDB"/>
    <w:rsid w:val="0039241A"/>
    <w:rsid w:val="00393F0D"/>
    <w:rsid w:val="003D6B0E"/>
    <w:rsid w:val="00432DFE"/>
    <w:rsid w:val="0044547C"/>
    <w:rsid w:val="004A3772"/>
    <w:rsid w:val="005035A3"/>
    <w:rsid w:val="00504122"/>
    <w:rsid w:val="005429F9"/>
    <w:rsid w:val="005565B4"/>
    <w:rsid w:val="005B2A9A"/>
    <w:rsid w:val="005B5973"/>
    <w:rsid w:val="005B69B6"/>
    <w:rsid w:val="00603A2A"/>
    <w:rsid w:val="00631CCC"/>
    <w:rsid w:val="00643CFB"/>
    <w:rsid w:val="006474FC"/>
    <w:rsid w:val="0066408E"/>
    <w:rsid w:val="006B69BD"/>
    <w:rsid w:val="006C2330"/>
    <w:rsid w:val="00744BCF"/>
    <w:rsid w:val="00762591"/>
    <w:rsid w:val="00777F00"/>
    <w:rsid w:val="007B3934"/>
    <w:rsid w:val="007E4B06"/>
    <w:rsid w:val="007F67DD"/>
    <w:rsid w:val="008079FB"/>
    <w:rsid w:val="008202E4"/>
    <w:rsid w:val="00833A87"/>
    <w:rsid w:val="00854969"/>
    <w:rsid w:val="008551A7"/>
    <w:rsid w:val="0085576C"/>
    <w:rsid w:val="00857CA6"/>
    <w:rsid w:val="008F17D5"/>
    <w:rsid w:val="008F3F03"/>
    <w:rsid w:val="009240B3"/>
    <w:rsid w:val="00995880"/>
    <w:rsid w:val="009D4C3C"/>
    <w:rsid w:val="00A47A94"/>
    <w:rsid w:val="00A80C1D"/>
    <w:rsid w:val="00A86B37"/>
    <w:rsid w:val="00A941C0"/>
    <w:rsid w:val="00AA29DB"/>
    <w:rsid w:val="00B04F8C"/>
    <w:rsid w:val="00B40A16"/>
    <w:rsid w:val="00B42726"/>
    <w:rsid w:val="00B629FB"/>
    <w:rsid w:val="00BB01BB"/>
    <w:rsid w:val="00C43DDA"/>
    <w:rsid w:val="00CB008B"/>
    <w:rsid w:val="00CB667E"/>
    <w:rsid w:val="00CC1B2D"/>
    <w:rsid w:val="00CD5E22"/>
    <w:rsid w:val="00D07EFE"/>
    <w:rsid w:val="00D13102"/>
    <w:rsid w:val="00D51CE6"/>
    <w:rsid w:val="00D643B9"/>
    <w:rsid w:val="00D7346D"/>
    <w:rsid w:val="00DF0B3D"/>
    <w:rsid w:val="00E5592C"/>
    <w:rsid w:val="00EB782D"/>
    <w:rsid w:val="00ED405B"/>
    <w:rsid w:val="00F20B6E"/>
    <w:rsid w:val="00F83B19"/>
    <w:rsid w:val="00FB30E7"/>
    <w:rsid w:val="00F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289A8"/>
  <w15:docId w15:val="{179C6E4F-B804-4C54-B86C-807BBDE1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nnex 1"/>
    <w:qFormat/>
    <w:rsid w:val="009958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80"/>
    <w:rPr>
      <w:rFonts w:ascii="Tahoma" w:eastAsia="Times New Roman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3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5A3"/>
    <w:rPr>
      <w:rFonts w:ascii="Arial" w:eastAsia="Times New Roman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3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7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772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772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5B5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4A70-178E-4730-AAB1-935F37A9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Igor Jakšić</cp:lastModifiedBy>
  <cp:revision>2</cp:revision>
  <dcterms:created xsi:type="dcterms:W3CDTF">2017-07-19T07:29:00Z</dcterms:created>
  <dcterms:modified xsi:type="dcterms:W3CDTF">2017-07-19T07:29:00Z</dcterms:modified>
</cp:coreProperties>
</file>