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C1E66" w:rsidTr="00DC1E66">
        <w:trPr>
          <w:trHeight w:val="1207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C1E66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C1E66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8D6" w:rsidRDefault="000008D6" w:rsidP="00DC1E66">
            <w:pPr>
              <w:suppressAutoHyphens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08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Услуге израде техничке документације за Луку Богојево</w:t>
            </w:r>
          </w:p>
          <w:p w:rsidR="00CA7FD3" w:rsidRPr="00DC1E66" w:rsidRDefault="000008D6" w:rsidP="00DC1E66">
            <w:pPr>
              <w:suppressAutoHyphens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0008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71320000 - Услуге техничког пројектовања</w:t>
            </w:r>
            <w:r w:rsidR="00DC1E6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.</w:t>
            </w:r>
          </w:p>
        </w:tc>
      </w:tr>
      <w:tr w:rsidR="00CA7FD3" w:rsidRPr="00DC1E66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647AEC" w:rsidP="000008D6">
            <w:pPr>
              <w:spacing w:line="26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64.980.000,</w:t>
            </w:r>
            <w:r w:rsidR="000008D6" w:rsidRPr="006D02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00 </w:t>
            </w:r>
            <w:r w:rsidR="000008D6" w:rsidRPr="006D0220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r w:rsidR="000008D6" w:rsidRPr="006D02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0008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без ПДВ-а</w:t>
            </w:r>
            <w:r w:rsidR="00000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77.976.000,</w:t>
            </w:r>
            <w:bookmarkStart w:id="0" w:name="_GoBack"/>
            <w:bookmarkEnd w:id="0"/>
            <w:r w:rsidR="000008D6" w:rsidRPr="006D02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="000008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008D6" w:rsidRPr="006D0220">
              <w:rPr>
                <w:rFonts w:ascii="Times New Roman" w:eastAsia="Times New Roman" w:hAnsi="Times New Roman" w:cs="Times New Roman"/>
                <w:sz w:val="24"/>
                <w:szCs w:val="24"/>
              </w:rPr>
              <w:t>РСД</w:t>
            </w:r>
            <w:r w:rsidR="000008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са ПДВ-ом</w:t>
            </w:r>
            <w:r w:rsidR="000008D6"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1E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DC1E66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0008D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DC1E66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DC1E66" w:rsidRDefault="000008D6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6D02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64.980.000, 00 </w:t>
            </w:r>
            <w:r w:rsidRPr="006D0220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r w:rsidRPr="006D02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без ПДВ-а</w:t>
            </w:r>
            <w:r w:rsidRPr="008A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D02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77.976.000, 00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D0220">
              <w:rPr>
                <w:rFonts w:ascii="Times New Roman" w:eastAsia="Times New Roman" w:hAnsi="Times New Roman" w:cs="Times New Roman"/>
                <w:sz w:val="24"/>
                <w:szCs w:val="24"/>
              </w:rPr>
              <w:t>РСД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са ПДВ-ом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0008D6" w:rsidP="00074EA2">
            <w:pPr>
              <w:pStyle w:val="Default"/>
              <w:jc w:val="center"/>
              <w:rPr>
                <w:color w:val="auto"/>
              </w:rPr>
            </w:pPr>
            <w:r w:rsidRPr="006D0220">
              <w:rPr>
                <w:lang w:val="sr-Cyrl-RS"/>
              </w:rPr>
              <w:t xml:space="preserve">64.980.000, 00 </w:t>
            </w:r>
            <w:r w:rsidRPr="006D0220">
              <w:t>РС</w:t>
            </w:r>
            <w:r w:rsidRPr="006D0220">
              <w:rPr>
                <w:lang w:val="sr-Cyrl-CS"/>
              </w:rPr>
              <w:t>Д</w:t>
            </w:r>
            <w:r>
              <w:rPr>
                <w:lang w:val="sr-Cyrl-CS"/>
              </w:rPr>
              <w:t xml:space="preserve"> без ПДВ-а</w:t>
            </w:r>
            <w:r w:rsidRPr="008A3749">
              <w:t xml:space="preserve"> </w:t>
            </w:r>
            <w:r>
              <w:t xml:space="preserve">, </w:t>
            </w:r>
            <w:r w:rsidRPr="006D0220">
              <w:rPr>
                <w:lang w:val="sr-Cyrl-RS"/>
              </w:rPr>
              <w:t>77.976.000, 00</w:t>
            </w:r>
            <w:r>
              <w:rPr>
                <w:lang w:val="sr-Cyrl-RS"/>
              </w:rPr>
              <w:t xml:space="preserve"> </w:t>
            </w:r>
            <w:r w:rsidRPr="006D0220">
              <w:t>РСД</w:t>
            </w:r>
            <w:r>
              <w:rPr>
                <w:lang w:val="sr-Cyrl-CS"/>
              </w:rPr>
              <w:t xml:space="preserve"> са ПДВ-ом</w:t>
            </w:r>
            <w:r w:rsidRPr="00DC1E66">
              <w:rPr>
                <w:color w:val="auto"/>
              </w:rPr>
              <w:t xml:space="preserve"> 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0008D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21.04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578E5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78E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29</w:t>
            </w:r>
            <w:r w:rsidR="00BB4172" w:rsidRPr="00D578E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D57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  <w:r w:rsidR="001B6C63" w:rsidRPr="00D578E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D578E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0008D6" w:rsidP="000008D6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0B0A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Груп</w:t>
            </w:r>
            <w:r w:rsidRPr="000B0A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B0A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понуђача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„Exтинг“ д.о.о., ул. Веле Негринове бр. 16, Београд, „TRIOPROJEKT“ d.o.o., ул. Књегиње Зорке бр. 70,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 w:rsidRPr="008F5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„UTVING VS“ d.o.o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ул. Митрополита Петра бр. 8, Београд,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GEO-TEST</w:t>
            </w:r>
            <w:r w:rsidRPr="008F5D26">
              <w:rPr>
                <w:rFonts w:ascii="Times New Roman" w:hAnsi="Times New Roman" w:cs="Times New Roman"/>
                <w:sz w:val="24"/>
                <w:szCs w:val="24"/>
              </w:rPr>
              <w:t>” d.o.o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ул. Војина Ђурашиновића Костје бр. 11, Београд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GEO</w:t>
            </w:r>
            <w:r w:rsidRPr="008F5D26">
              <w:rPr>
                <w:rFonts w:ascii="Times New Roman" w:hAnsi="Times New Roman" w:cs="Times New Roman"/>
                <w:sz w:val="24"/>
                <w:szCs w:val="24"/>
              </w:rPr>
              <w:t>SY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STEM d.o.o., ул. Заплањска 84ђ, Београд,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VV PROING d.o.o.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Видиковачки венац бр. 63, Београд,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MIDVEJ MGV</w:t>
            </w:r>
            <w:r w:rsidRPr="008F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d.o.o</w:t>
            </w:r>
            <w:r w:rsidRPr="008F5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F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Виктора Новака бр. 2, Београд,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TERMOENERGO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INŽENJERING d.o.o.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ул. Булевар Краља Александра бр. 298,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Београд,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GORAN JOVANOVSKI PR RSINGS d.o.o.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ул. Сестара Букумировић бр. 112, 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DEMETRA RB d.o.o.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F5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ул. Зарија Вујошевића бр. 80, Београд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</w:p>
        </w:tc>
      </w:tr>
      <w:tr w:rsidR="00CA7FD3" w:rsidRPr="00DC1E66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0008D6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01.12.2021. године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D12255" w:rsidRPr="00DC1E66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DC1E66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DC1E66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39" w:rsidRDefault="002C4E39" w:rsidP="00B20919">
      <w:pPr>
        <w:spacing w:after="0" w:line="240" w:lineRule="auto"/>
      </w:pPr>
      <w:r>
        <w:separator/>
      </w:r>
    </w:p>
  </w:endnote>
  <w:endnote w:type="continuationSeparator" w:id="0">
    <w:p w:rsidR="002C4E39" w:rsidRDefault="002C4E39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39" w:rsidRDefault="002C4E39" w:rsidP="00B20919">
      <w:pPr>
        <w:spacing w:after="0" w:line="240" w:lineRule="auto"/>
      </w:pPr>
      <w:r>
        <w:separator/>
      </w:r>
    </w:p>
  </w:footnote>
  <w:footnote w:type="continuationSeparator" w:id="0">
    <w:p w:rsidR="002C4E39" w:rsidRDefault="002C4E39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008D6"/>
    <w:rsid w:val="00031435"/>
    <w:rsid w:val="000618CD"/>
    <w:rsid w:val="00074EA2"/>
    <w:rsid w:val="00115F98"/>
    <w:rsid w:val="001B6C63"/>
    <w:rsid w:val="001E242F"/>
    <w:rsid w:val="001F3D52"/>
    <w:rsid w:val="001F7606"/>
    <w:rsid w:val="0026533D"/>
    <w:rsid w:val="00282829"/>
    <w:rsid w:val="002B08DE"/>
    <w:rsid w:val="002C4E39"/>
    <w:rsid w:val="00387D05"/>
    <w:rsid w:val="003E2916"/>
    <w:rsid w:val="003E5EFF"/>
    <w:rsid w:val="00472160"/>
    <w:rsid w:val="004C68B7"/>
    <w:rsid w:val="00530B57"/>
    <w:rsid w:val="005414A4"/>
    <w:rsid w:val="005566E8"/>
    <w:rsid w:val="00575804"/>
    <w:rsid w:val="005A7C66"/>
    <w:rsid w:val="005C1378"/>
    <w:rsid w:val="00615D2A"/>
    <w:rsid w:val="00627B5D"/>
    <w:rsid w:val="00647AEC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8A421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CF68CD"/>
    <w:rsid w:val="00D12255"/>
    <w:rsid w:val="00D4043A"/>
    <w:rsid w:val="00D43BC6"/>
    <w:rsid w:val="00D45E54"/>
    <w:rsid w:val="00D541AC"/>
    <w:rsid w:val="00D578E5"/>
    <w:rsid w:val="00DC0365"/>
    <w:rsid w:val="00DC1E66"/>
    <w:rsid w:val="00DE67A9"/>
    <w:rsid w:val="00E11A04"/>
    <w:rsid w:val="00E134C7"/>
    <w:rsid w:val="00E355C4"/>
    <w:rsid w:val="00E404F9"/>
    <w:rsid w:val="00EC0E9D"/>
    <w:rsid w:val="00F2721F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5C14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5</cp:revision>
  <cp:lastPrinted>2018-03-29T07:14:00Z</cp:lastPrinted>
  <dcterms:created xsi:type="dcterms:W3CDTF">2020-05-04T10:01:00Z</dcterms:created>
  <dcterms:modified xsi:type="dcterms:W3CDTF">2020-05-04T10:14:00Z</dcterms:modified>
</cp:coreProperties>
</file>