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18" w:rsidRPr="00FC6480" w:rsidRDefault="00513B18" w:rsidP="00FC6480">
      <w:pPr>
        <w:spacing w:after="99"/>
        <w:jc w:val="center"/>
        <w:rPr>
          <w:sz w:val="24"/>
          <w:szCs w:val="24"/>
        </w:rPr>
      </w:pPr>
      <w:r w:rsidRPr="00366AFF">
        <w:rPr>
          <w:rFonts w:ascii="Times New Roman" w:eastAsia="Times New Roman" w:hAnsi="Times New Roman" w:cs="Times New Roman"/>
          <w:sz w:val="24"/>
          <w:szCs w:val="24"/>
        </w:rPr>
        <w:t>ОБАВЕШТЕЊЕ О ОБУСТАВИ ПОСТУПКА ЈАВНЕ НАБАВКЕ</w:t>
      </w:r>
    </w:p>
    <w:tbl>
      <w:tblPr>
        <w:tblStyle w:val="TableGrid"/>
        <w:tblW w:w="9507" w:type="dxa"/>
        <w:tblInd w:w="-275" w:type="dxa"/>
        <w:tblLook w:val="04A0" w:firstRow="1" w:lastRow="0" w:firstColumn="1" w:lastColumn="0" w:noHBand="0" w:noVBand="1"/>
      </w:tblPr>
      <w:tblGrid>
        <w:gridCol w:w="3531"/>
        <w:gridCol w:w="5976"/>
      </w:tblGrid>
      <w:tr w:rsidR="00513B18" w:rsidRPr="00E25486" w:rsidTr="00731BA9">
        <w:trPr>
          <w:trHeight w:val="323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Назив наручиоца:</w:t>
            </w:r>
          </w:p>
        </w:tc>
        <w:tc>
          <w:tcPr>
            <w:tcW w:w="5976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Министарство грађевинараства, саобраћаја и инфраструктуре</w:t>
            </w:r>
          </w:p>
        </w:tc>
      </w:tr>
      <w:tr w:rsidR="00513B18" w:rsidRPr="00E25486" w:rsidTr="00731BA9">
        <w:trPr>
          <w:trHeight w:val="323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Адреса наручиоца:</w:t>
            </w:r>
          </w:p>
        </w:tc>
        <w:tc>
          <w:tcPr>
            <w:tcW w:w="5976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Немањина 22-26, Београд</w:t>
            </w:r>
          </w:p>
        </w:tc>
      </w:tr>
      <w:tr w:rsidR="00513B18" w:rsidRPr="00E25486" w:rsidTr="00731BA9">
        <w:trPr>
          <w:trHeight w:val="507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Интернет страница наручиоца:</w:t>
            </w:r>
          </w:p>
        </w:tc>
        <w:tc>
          <w:tcPr>
            <w:tcW w:w="5976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E25486">
              <w:rPr>
                <w:rFonts w:ascii="Times New Roman" w:hAnsi="Times New Roman" w:cs="Times New Roman"/>
                <w:lang w:val="sr-Latn-CS"/>
              </w:rPr>
              <w:t>www.mgsi.gov.rs</w:t>
            </w:r>
          </w:p>
        </w:tc>
      </w:tr>
      <w:tr w:rsidR="00513B18" w:rsidRPr="00E25486" w:rsidTr="00731BA9">
        <w:trPr>
          <w:trHeight w:val="323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наручиоца:</w:t>
            </w:r>
          </w:p>
        </w:tc>
        <w:tc>
          <w:tcPr>
            <w:tcW w:w="5976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Органи државне управе</w:t>
            </w:r>
          </w:p>
        </w:tc>
      </w:tr>
      <w:tr w:rsidR="00513B18" w:rsidRPr="00E25486" w:rsidTr="00731BA9">
        <w:trPr>
          <w:trHeight w:val="347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поступка јавне набавке:</w:t>
            </w:r>
          </w:p>
        </w:tc>
        <w:tc>
          <w:tcPr>
            <w:tcW w:w="5976" w:type="dxa"/>
            <w:vAlign w:val="center"/>
          </w:tcPr>
          <w:p w:rsidR="00513B18" w:rsidRPr="00E25486" w:rsidRDefault="00A22509" w:rsidP="00731BA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Јавна набавка мале вредности</w:t>
            </w:r>
          </w:p>
        </w:tc>
      </w:tr>
      <w:tr w:rsidR="00513B18" w:rsidRPr="00E25486" w:rsidTr="00731BA9">
        <w:trPr>
          <w:trHeight w:val="957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5976" w:type="dxa"/>
            <w:vAlign w:val="center"/>
          </w:tcPr>
          <w:p w:rsidR="00A22509" w:rsidRDefault="00A22509" w:rsidP="00513B18">
            <w:pPr>
              <w:pStyle w:val="NoSpacing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22509"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eastAsia="ar-SA"/>
              </w:rPr>
              <w:t>Израда тендерског досијеа за проширење капацитета Луке Сремска Митровица</w:t>
            </w:r>
          </w:p>
          <w:p w:rsidR="00513B18" w:rsidRDefault="00513B18" w:rsidP="00A22509">
            <w:pPr>
              <w:pStyle w:val="NoSpacing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09580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Назив и ознака из општег речника набавки: </w:t>
            </w:r>
          </w:p>
          <w:p w:rsidR="00A22509" w:rsidRPr="00E25486" w:rsidRDefault="00A22509" w:rsidP="00A22509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22509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71318000-0 </w:t>
            </w:r>
            <w:proofErr w:type="spellStart"/>
            <w:r w:rsidRPr="00A22509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Техничке</w:t>
            </w:r>
            <w:proofErr w:type="spellEnd"/>
            <w:r w:rsidRPr="00A22509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22509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саветодавне</w:t>
            </w:r>
            <w:proofErr w:type="spellEnd"/>
            <w:r w:rsidRPr="00A22509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22509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услуге</w:t>
            </w:r>
            <w:proofErr w:type="spellEnd"/>
            <w:r w:rsidRPr="00A22509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</w:tr>
      <w:tr w:rsidR="00513B18" w:rsidRPr="00E25486" w:rsidTr="00731BA9">
        <w:trPr>
          <w:trHeight w:val="480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Процењена вредност јавне набавке:</w:t>
            </w:r>
          </w:p>
        </w:tc>
        <w:tc>
          <w:tcPr>
            <w:tcW w:w="5976" w:type="dxa"/>
            <w:vAlign w:val="center"/>
          </w:tcPr>
          <w:p w:rsidR="00513B18" w:rsidRPr="00E25486" w:rsidRDefault="00513B18" w:rsidP="00513B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5.00</w:t>
            </w:r>
            <w:r w:rsidRPr="00242003">
              <w:rPr>
                <w:rFonts w:ascii="Times New Roman" w:hAnsi="Times New Roman" w:cs="Times New Roman"/>
                <w:lang w:val="en-GB"/>
              </w:rPr>
              <w:t xml:space="preserve">0.000,00 </w:t>
            </w:r>
            <w:proofErr w:type="spellStart"/>
            <w:r w:rsidRPr="00242003">
              <w:rPr>
                <w:rFonts w:ascii="Times New Roman" w:hAnsi="Times New Roman" w:cs="Times New Roman"/>
                <w:lang w:val="en-GB"/>
              </w:rPr>
              <w:t>динара</w:t>
            </w:r>
            <w:proofErr w:type="spellEnd"/>
            <w:r w:rsidRPr="0024200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42003">
              <w:rPr>
                <w:rFonts w:ascii="Times New Roman" w:hAnsi="Times New Roman" w:cs="Times New Roman"/>
                <w:lang w:val="en-GB"/>
              </w:rPr>
              <w:t>без</w:t>
            </w:r>
            <w:proofErr w:type="spellEnd"/>
            <w:r w:rsidRPr="00242003">
              <w:rPr>
                <w:rFonts w:ascii="Times New Roman" w:hAnsi="Times New Roman" w:cs="Times New Roman"/>
                <w:lang w:val="en-GB"/>
              </w:rPr>
              <w:t xml:space="preserve"> ПДВ-а, </w:t>
            </w:r>
            <w:proofErr w:type="spellStart"/>
            <w:r w:rsidRPr="00242003">
              <w:rPr>
                <w:rFonts w:ascii="Times New Roman" w:hAnsi="Times New Roman" w:cs="Times New Roman"/>
                <w:lang w:val="en-GB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6.0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GB"/>
              </w:rPr>
              <w:t xml:space="preserve">0.000,00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ПДВ-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ом</w:t>
            </w:r>
            <w:proofErr w:type="spellEnd"/>
          </w:p>
        </w:tc>
      </w:tr>
      <w:tr w:rsidR="00513B18" w:rsidRPr="00E25486" w:rsidTr="00FC6480">
        <w:trPr>
          <w:trHeight w:val="1835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Број примљених понуда и подаци о понуђачима:</w:t>
            </w:r>
          </w:p>
        </w:tc>
        <w:tc>
          <w:tcPr>
            <w:tcW w:w="5976" w:type="dxa"/>
            <w:vAlign w:val="center"/>
          </w:tcPr>
          <w:p w:rsidR="00513B18" w:rsidRDefault="00A22509" w:rsidP="00731BA9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Latn-CS" w:eastAsia="en-US"/>
              </w:rPr>
              <w:t>1</w:t>
            </w:r>
            <w:r w:rsidR="00513B18">
              <w:rPr>
                <w:rFonts w:ascii="Times New Roman" w:eastAsia="Times New Roman" w:hAnsi="Times New Roman" w:cs="Times New Roman"/>
                <w:color w:val="auto"/>
                <w:lang w:val="sr-Latn-CS"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једна</w:t>
            </w:r>
            <w:r w:rsidR="00513B1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понуда је пристигла.</w:t>
            </w:r>
          </w:p>
          <w:p w:rsidR="00A22509" w:rsidRDefault="00A22509" w:rsidP="00731BA9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Подаци о групи понуђача:</w:t>
            </w:r>
          </w:p>
          <w:p w:rsidR="00A22509" w:rsidRPr="00A22509" w:rsidRDefault="00A22509" w:rsidP="00A22509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2250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 САФЕГЕ ДОО, Београдска 27, 11000 Београд, Србија</w:t>
            </w:r>
          </w:p>
          <w:p w:rsidR="00A22509" w:rsidRDefault="00A22509" w:rsidP="00A22509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2250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 САФЕГЕ САС, 15-27 Rue du Port, Parc de I'Il 92000, Нантер, Француска</w:t>
            </w:r>
            <w:r w:rsidR="003F715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A22509" w:rsidRDefault="00A22509" w:rsidP="00A22509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Понуђена цена: </w:t>
            </w:r>
            <w:r w:rsidR="002068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4.900.</w:t>
            </w:r>
            <w:r w:rsidR="00B208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000</w:t>
            </w:r>
            <w:r w:rsidR="002068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,00</w:t>
            </w:r>
            <w:r w:rsidR="00B208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2068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динара без ПДВ-а, односно 5.880.</w:t>
            </w:r>
            <w:r w:rsidR="00B208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00</w:t>
            </w:r>
            <w:r w:rsidR="002068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0,00</w:t>
            </w:r>
            <w:r w:rsidR="00B208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динара са ПДВ-ом.</w:t>
            </w:r>
          </w:p>
          <w:p w:rsidR="00A22509" w:rsidRPr="00541DF2" w:rsidRDefault="00A22509" w:rsidP="00731BA9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513B18" w:rsidRPr="00E25486" w:rsidTr="00A22509">
        <w:trPr>
          <w:trHeight w:val="1673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Разлог за обуставу поступка:</w:t>
            </w:r>
          </w:p>
        </w:tc>
        <w:tc>
          <w:tcPr>
            <w:tcW w:w="5976" w:type="dxa"/>
            <w:vAlign w:val="center"/>
          </w:tcPr>
          <w:p w:rsidR="00B20886" w:rsidRDefault="00510C90" w:rsidP="00B2088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510C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Конкурсном документацијом је предвиђено да садржина понуде мора бити јасна и прецизна, </w:t>
            </w:r>
            <w:r w:rsidR="00FC648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као и </w:t>
            </w:r>
            <w:r w:rsidRPr="00510C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да је неопходно да уз понуду буде приложен модел уговора, у потпуности потписан и печатиран од стране понуђача.</w:t>
            </w:r>
            <w:r w:rsidR="002068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Како у понуди групе</w:t>
            </w:r>
            <w:r w:rsidR="00B208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понуђача: </w:t>
            </w:r>
          </w:p>
          <w:p w:rsidR="00B20886" w:rsidRPr="00B20886" w:rsidRDefault="00B20886" w:rsidP="00B2088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208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 САФЕГЕ ДОО, Београдска 27, 11000 Београд, Србија</w:t>
            </w:r>
          </w:p>
          <w:p w:rsidR="00513B18" w:rsidRPr="00B20886" w:rsidRDefault="00B20886" w:rsidP="00FC648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208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 САФЕГЕ САС, 15-27 Rue du Port, Parc de I'Il 92000, Нантер, Француска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</w:t>
            </w:r>
            <w:r w:rsidR="002068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није достављен модел уговора, садржина понуде се не може окарактерисати као јасна и прецизна, јер не садржи битне елементе уговора који треба да се закључи</w:t>
            </w:r>
            <w:r w:rsidR="00FC648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између две стране, а самим тим ни озбиљну намеру да се исти </w:t>
            </w:r>
            <w:r w:rsidR="002068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закључи.</w:t>
            </w:r>
            <w:r w:rsidR="00FC648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Сходно наведеном,</w:t>
            </w:r>
            <w:r w:rsidR="00510C9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FC648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достављена понуда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је оцењена као </w:t>
            </w:r>
            <w:r w:rsidRPr="00B20886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НЕПРИХВАТЉИВА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у складу са чланом 106. став 1. тачка 5.</w:t>
            </w:r>
            <w:r w:rsidR="0058260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</w:t>
            </w:r>
            <w:r w:rsidR="006B6A3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акона о јавним набавкама, којим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је предвиђено да је наручилац дужан да одбије понуду ако иста садржи друге недостатке због којих није могуће одредити с</w:t>
            </w:r>
            <w:r w:rsidR="00FC648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тварну садржину понуде или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је</w:t>
            </w:r>
            <w:r w:rsidR="00FC648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није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могуће упо</w:t>
            </w:r>
            <w:r w:rsidR="002068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едити са другим понудама. </w:t>
            </w:r>
          </w:p>
        </w:tc>
      </w:tr>
      <w:tr w:rsidR="00513B18" w:rsidRPr="00E25486" w:rsidTr="00FC6480">
        <w:trPr>
          <w:trHeight w:val="1853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Када ће поступак поново бити спроведен:</w:t>
            </w:r>
          </w:p>
        </w:tc>
        <w:tc>
          <w:tcPr>
            <w:tcW w:w="5976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Када се стекну законски услови за покретање поступка</w:t>
            </w:r>
            <w:r w:rsidR="0020684E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A958A2" w:rsidRDefault="00A958A2"/>
    <w:sectPr w:rsidR="00A95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C1"/>
    <w:rsid w:val="0020684E"/>
    <w:rsid w:val="003F7156"/>
    <w:rsid w:val="004311C1"/>
    <w:rsid w:val="00510C90"/>
    <w:rsid w:val="00513B18"/>
    <w:rsid w:val="00582605"/>
    <w:rsid w:val="006B6A33"/>
    <w:rsid w:val="006D5FB0"/>
    <w:rsid w:val="00A22509"/>
    <w:rsid w:val="00A958A2"/>
    <w:rsid w:val="00B20886"/>
    <w:rsid w:val="00DA251C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B4C01-0ECB-4A29-B962-94401EC6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B18"/>
    <w:rPr>
      <w:rFonts w:ascii="Calibri" w:eastAsia="Calibri" w:hAnsi="Calibri" w:cs="Calibri"/>
      <w:color w:val="00000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B18"/>
    <w:pPr>
      <w:spacing w:after="0" w:line="240" w:lineRule="auto"/>
    </w:pPr>
    <w:rPr>
      <w:rFonts w:eastAsiaTheme="minorEastAsia"/>
      <w:lang w:val="sr-Cyrl-CS" w:eastAsia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3B18"/>
    <w:pPr>
      <w:spacing w:after="0" w:line="240" w:lineRule="auto"/>
    </w:pPr>
    <w:rPr>
      <w:rFonts w:ascii="Calibri" w:eastAsia="Calibri" w:hAnsi="Calibri" w:cs="Calibri"/>
      <w:color w:val="00000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Zivanovic</dc:creator>
  <cp:keywords/>
  <dc:description/>
  <cp:lastModifiedBy>Ivan Tadić</cp:lastModifiedBy>
  <cp:revision>7</cp:revision>
  <dcterms:created xsi:type="dcterms:W3CDTF">2020-08-27T06:53:00Z</dcterms:created>
  <dcterms:modified xsi:type="dcterms:W3CDTF">2020-08-27T07:34:00Z</dcterms:modified>
</cp:coreProperties>
</file>