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D597" w14:textId="77777777" w:rsidR="000A0DD7" w:rsidRDefault="00585D7A" w:rsidP="00585D7A">
      <w:pPr>
        <w:tabs>
          <w:tab w:val="left" w:pos="675"/>
        </w:tabs>
        <w:rPr>
          <w:b/>
          <w:lang w:val="sr-Cyrl-RS"/>
        </w:rPr>
      </w:pPr>
      <w:r>
        <w:rPr>
          <w:b/>
          <w:lang w:val="sr-Cyrl-RS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F6194" wp14:editId="514F2F2D">
            <wp:simplePos x="0" y="0"/>
            <wp:positionH relativeFrom="column">
              <wp:posOffset>-292735</wp:posOffset>
            </wp:positionH>
            <wp:positionV relativeFrom="paragraph">
              <wp:posOffset>-66040</wp:posOffset>
            </wp:positionV>
            <wp:extent cx="2194560" cy="1121134"/>
            <wp:effectExtent l="0" t="0" r="0" b="3175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G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006C7" w14:textId="77777777" w:rsidR="000A0DD7" w:rsidRDefault="00585D7A" w:rsidP="00585D7A">
      <w:pPr>
        <w:tabs>
          <w:tab w:val="left" w:pos="7470"/>
        </w:tabs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D1A4F7" wp14:editId="36B28CD8">
            <wp:simplePos x="0" y="0"/>
            <wp:positionH relativeFrom="column">
              <wp:posOffset>4581525</wp:posOffset>
            </wp:positionH>
            <wp:positionV relativeFrom="paragraph">
              <wp:posOffset>140335</wp:posOffset>
            </wp:positionV>
            <wp:extent cx="1295400" cy="48006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-cyr-fin-curv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sr-Cyrl-RS"/>
        </w:rPr>
        <w:tab/>
      </w:r>
    </w:p>
    <w:p w14:paraId="1840E320" w14:textId="77777777" w:rsidR="000A0DD7" w:rsidRDefault="000A0DD7" w:rsidP="00066644">
      <w:pPr>
        <w:jc w:val="center"/>
        <w:rPr>
          <w:b/>
          <w:lang w:val="sr-Cyrl-RS"/>
        </w:rPr>
      </w:pPr>
    </w:p>
    <w:p w14:paraId="0C560C82" w14:textId="77777777" w:rsidR="000A0DD7" w:rsidRDefault="000A0DD7" w:rsidP="00066644">
      <w:pPr>
        <w:jc w:val="center"/>
        <w:rPr>
          <w:b/>
          <w:lang w:val="sr-Cyrl-RS"/>
        </w:rPr>
      </w:pPr>
    </w:p>
    <w:p w14:paraId="5C2A8E73" w14:textId="77777777" w:rsidR="000A0DD7" w:rsidRDefault="000A0DD7" w:rsidP="00066644">
      <w:pPr>
        <w:jc w:val="center"/>
        <w:rPr>
          <w:b/>
        </w:rPr>
      </w:pPr>
    </w:p>
    <w:p w14:paraId="67A7A698" w14:textId="77777777" w:rsidR="00585D7A" w:rsidRDefault="00585D7A" w:rsidP="00066644">
      <w:pPr>
        <w:jc w:val="center"/>
        <w:rPr>
          <w:b/>
        </w:rPr>
      </w:pPr>
    </w:p>
    <w:p w14:paraId="25AF06BD" w14:textId="77777777" w:rsidR="00585D7A" w:rsidRDefault="00585D7A" w:rsidP="00066644">
      <w:pPr>
        <w:jc w:val="center"/>
        <w:rPr>
          <w:b/>
          <w:lang w:val="sr-Cyrl-RS"/>
        </w:rPr>
      </w:pPr>
    </w:p>
    <w:p w14:paraId="46A23B41" w14:textId="77777777" w:rsidR="0038546C" w:rsidRPr="0038546C" w:rsidRDefault="0038546C" w:rsidP="00066644">
      <w:pPr>
        <w:jc w:val="center"/>
        <w:rPr>
          <w:b/>
          <w:lang w:val="sr-Cyrl-RS"/>
        </w:rPr>
      </w:pPr>
    </w:p>
    <w:p w14:paraId="58C80819" w14:textId="4981388B" w:rsidR="00472D29" w:rsidRDefault="00066644" w:rsidP="00066644">
      <w:pPr>
        <w:jc w:val="center"/>
        <w:rPr>
          <w:b/>
          <w:lang w:val="sr-Cyrl-RS"/>
        </w:rPr>
      </w:pPr>
      <w:r w:rsidRPr="00066644">
        <w:rPr>
          <w:b/>
          <w:lang w:val="sr-Cyrl-RS"/>
        </w:rPr>
        <w:t>ИЗВЕШТАЈ О СПРОВЕД</w:t>
      </w:r>
      <w:r w:rsidR="005A2B03">
        <w:rPr>
          <w:b/>
          <w:lang w:val="sr-Cyrl-RS"/>
        </w:rPr>
        <w:t>Е</w:t>
      </w:r>
      <w:r w:rsidRPr="00066644">
        <w:rPr>
          <w:b/>
          <w:lang w:val="sr-Cyrl-RS"/>
        </w:rPr>
        <w:t>НОЈ КАМПАЊИ ЕВРОПСКЕ НЕДЕЉЕ МОБИЛНОСТИ У РЕПУБЛИЦИ СРБИЈИ</w:t>
      </w:r>
      <w:r w:rsidR="005F52B7">
        <w:rPr>
          <w:b/>
          <w:lang w:val="sr-Cyrl-RS"/>
        </w:rPr>
        <w:t>, 16.-22. СЕПТЕМБРА 202</w:t>
      </w:r>
      <w:r w:rsidR="006F0809">
        <w:rPr>
          <w:b/>
          <w:lang w:val="sr-Cyrl-RS"/>
        </w:rPr>
        <w:t>1</w:t>
      </w:r>
      <w:r w:rsidR="005F52B7">
        <w:rPr>
          <w:b/>
          <w:lang w:val="sr-Cyrl-RS"/>
        </w:rPr>
        <w:t>. ГОДИНЕ</w:t>
      </w:r>
    </w:p>
    <w:p w14:paraId="0CEB9EF9" w14:textId="77777777" w:rsidR="002E705A" w:rsidRDefault="002E705A" w:rsidP="00066644">
      <w:pPr>
        <w:jc w:val="center"/>
        <w:rPr>
          <w:b/>
          <w:lang w:val="sr-Cyrl-RS"/>
        </w:rPr>
      </w:pPr>
    </w:p>
    <w:p w14:paraId="463E5B8C" w14:textId="0E8329FC" w:rsidR="009B4251" w:rsidRDefault="009B4251" w:rsidP="00066644">
      <w:pPr>
        <w:jc w:val="center"/>
        <w:rPr>
          <w:b/>
          <w:lang w:val="sr-Cyrl-RS"/>
        </w:rPr>
      </w:pPr>
      <w:r>
        <w:rPr>
          <w:b/>
          <w:lang w:val="sr-Cyrl-RS"/>
        </w:rPr>
        <w:t>„</w:t>
      </w:r>
      <w:r w:rsidR="006F0809">
        <w:rPr>
          <w:b/>
          <w:lang w:val="sr-Latn-RS"/>
        </w:rPr>
        <w:t>O</w:t>
      </w:r>
      <w:proofErr w:type="spellStart"/>
      <w:r w:rsidR="006F0809">
        <w:rPr>
          <w:b/>
          <w:lang w:val="sr-Cyrl-RS"/>
        </w:rPr>
        <w:t>држива</w:t>
      </w:r>
      <w:proofErr w:type="spellEnd"/>
      <w:r w:rsidR="006F0809">
        <w:rPr>
          <w:b/>
          <w:lang w:val="sr-Cyrl-RS"/>
        </w:rPr>
        <w:t xml:space="preserve"> мобилност за здравији живот</w:t>
      </w:r>
      <w:r>
        <w:rPr>
          <w:b/>
          <w:lang w:val="sr-Cyrl-RS"/>
        </w:rPr>
        <w:t>“</w:t>
      </w:r>
    </w:p>
    <w:p w14:paraId="614AE053" w14:textId="77777777" w:rsidR="00B97B77" w:rsidRDefault="00B97B77" w:rsidP="002E705A">
      <w:pPr>
        <w:jc w:val="center"/>
        <w:rPr>
          <w:b/>
          <w:lang w:val="sr-Cyrl-RS"/>
        </w:rPr>
      </w:pPr>
    </w:p>
    <w:p w14:paraId="108CC186" w14:textId="0DB983C9" w:rsidR="00390354" w:rsidRPr="00FE2939" w:rsidRDefault="00390354" w:rsidP="009B4251">
      <w:pPr>
        <w:ind w:firstLine="720"/>
        <w:jc w:val="both"/>
        <w:rPr>
          <w:bCs/>
          <w:lang w:val="sr-Cyrl-CS"/>
        </w:rPr>
      </w:pPr>
      <w:r w:rsidRPr="009B4251">
        <w:rPr>
          <w:lang w:val="sr-Cyrl-RS"/>
        </w:rPr>
        <w:t>Министарс</w:t>
      </w:r>
      <w:r w:rsidR="00B97B77" w:rsidRPr="009B4251">
        <w:rPr>
          <w:lang w:val="sr-Cyrl-RS"/>
        </w:rPr>
        <w:t>тво грађевинарства, саобраћаја и</w:t>
      </w:r>
      <w:r w:rsidRPr="009B4251">
        <w:rPr>
          <w:lang w:val="sr-Cyrl-RS"/>
        </w:rPr>
        <w:t xml:space="preserve"> инфраструктуре</w:t>
      </w:r>
      <w:r w:rsidR="009B4251">
        <w:rPr>
          <w:lang w:val="sr-Cyrl-RS"/>
        </w:rPr>
        <w:t xml:space="preserve"> и </w:t>
      </w:r>
      <w:r w:rsidR="009B4251" w:rsidRPr="009B4251">
        <w:rPr>
          <w:lang w:val="sr-Cyrl-RS"/>
        </w:rPr>
        <w:t>Стална конференција градова и општина</w:t>
      </w:r>
      <w:r w:rsidRPr="009B4251">
        <w:rPr>
          <w:lang w:val="sr-Cyrl-RS"/>
        </w:rPr>
        <w:t xml:space="preserve"> </w:t>
      </w:r>
      <w:r w:rsidR="006F0809">
        <w:rPr>
          <w:lang w:val="sr-Cyrl-RS"/>
        </w:rPr>
        <w:t xml:space="preserve">другу годину за редом </w:t>
      </w:r>
      <w:r w:rsidRPr="009B4251">
        <w:rPr>
          <w:lang w:val="sr-Cyrl-RS"/>
        </w:rPr>
        <w:t>координ</w:t>
      </w:r>
      <w:r w:rsidR="006F0809">
        <w:rPr>
          <w:lang w:val="sr-Cyrl-RS"/>
        </w:rPr>
        <w:t>ира</w:t>
      </w:r>
      <w:r w:rsidRPr="009B4251">
        <w:rPr>
          <w:lang w:val="sr-Cyrl-RS"/>
        </w:rPr>
        <w:t>ју активности кампање</w:t>
      </w:r>
      <w:r w:rsidR="00585D7A" w:rsidRPr="009B4251">
        <w:rPr>
          <w:lang w:val="sr-Cyrl-RS"/>
        </w:rPr>
        <w:t xml:space="preserve"> Европске недеље мобилности</w:t>
      </w:r>
      <w:r w:rsidR="003C6905" w:rsidRPr="009B4251">
        <w:rPr>
          <w:lang w:val="sr-Cyrl-RS"/>
        </w:rPr>
        <w:t xml:space="preserve"> у Републици Србији. </w:t>
      </w:r>
      <w:r w:rsidR="009B4251" w:rsidRPr="009B4251">
        <w:rPr>
          <w:lang w:val="sr-Cyrl-RS"/>
        </w:rPr>
        <w:t>Оснивач и покровитељ ове кампање</w:t>
      </w:r>
      <w:r w:rsidR="005B4522">
        <w:rPr>
          <w:lang w:val="sr-Cyrl-RS"/>
        </w:rPr>
        <w:t xml:space="preserve"> је Европска </w:t>
      </w:r>
      <w:proofErr w:type="spellStart"/>
      <w:r w:rsidR="005B4522">
        <w:rPr>
          <w:lang w:val="sr-Cyrl-RS"/>
        </w:rPr>
        <w:t>комисиј</w:t>
      </w:r>
      <w:proofErr w:type="spellEnd"/>
      <w:r w:rsidR="004A4090">
        <w:t>a</w:t>
      </w:r>
      <w:r w:rsidR="004A4090">
        <w:rPr>
          <w:lang w:val="sr-Cyrl-RS"/>
        </w:rPr>
        <w:t>, а циљ је</w:t>
      </w:r>
      <w:r w:rsidR="005B4522">
        <w:rPr>
          <w:lang w:val="sr-Cyrl-RS"/>
        </w:rPr>
        <w:t xml:space="preserve"> да се фаворизују </w:t>
      </w:r>
      <w:proofErr w:type="spellStart"/>
      <w:r w:rsidR="005B4522">
        <w:rPr>
          <w:lang w:val="sr-Cyrl-RS"/>
        </w:rPr>
        <w:t>немоторизовани</w:t>
      </w:r>
      <w:proofErr w:type="spellEnd"/>
      <w:r w:rsidR="005B4522">
        <w:rPr>
          <w:lang w:val="sr-Cyrl-RS"/>
        </w:rPr>
        <w:t xml:space="preserve"> видови</w:t>
      </w:r>
      <w:r w:rsidR="003C6905" w:rsidRPr="009B4251">
        <w:rPr>
          <w:lang w:val="sr-Cyrl-RS"/>
        </w:rPr>
        <w:t xml:space="preserve"> превоза у градовима у односу на аутомобилски саобраћ</w:t>
      </w:r>
      <w:r w:rsidR="005B4522">
        <w:rPr>
          <w:lang w:val="sr-Cyrl-RS"/>
        </w:rPr>
        <w:t xml:space="preserve">ај који користи фосилна горива. </w:t>
      </w:r>
      <w:r w:rsidR="003C6905" w:rsidRPr="009B4251">
        <w:rPr>
          <w:lang w:val="sr-Cyrl-RS"/>
        </w:rPr>
        <w:t xml:space="preserve">Тема овогодишње </w:t>
      </w:r>
      <w:proofErr w:type="spellStart"/>
      <w:r w:rsidR="003C6905" w:rsidRPr="009B4251">
        <w:rPr>
          <w:lang w:val="sr-Cyrl-RS"/>
        </w:rPr>
        <w:t>капмање</w:t>
      </w:r>
      <w:proofErr w:type="spellEnd"/>
      <w:r w:rsidR="009B4251">
        <w:rPr>
          <w:lang w:val="sr-Cyrl-RS"/>
        </w:rPr>
        <w:t xml:space="preserve"> била</w:t>
      </w:r>
      <w:r w:rsidR="003C6905" w:rsidRPr="009B4251">
        <w:rPr>
          <w:lang w:val="sr-Cyrl-RS"/>
        </w:rPr>
        <w:t xml:space="preserve"> је: </w:t>
      </w:r>
      <w:r w:rsidR="003C6905" w:rsidRPr="009B4251">
        <w:rPr>
          <w:bCs/>
          <w:lang w:val="sr-Cyrl-RS"/>
        </w:rPr>
        <w:t>„</w:t>
      </w:r>
      <w:r w:rsidR="006F0809">
        <w:rPr>
          <w:bCs/>
          <w:lang w:val="sr-Cyrl-RS"/>
        </w:rPr>
        <w:t>Одржива мобилност за здравији живот</w:t>
      </w:r>
      <w:r w:rsidR="00FE2939">
        <w:rPr>
          <w:bCs/>
          <w:lang w:val="sr-Cyrl-RS"/>
        </w:rPr>
        <w:t>“, а слоган који је пратио ову тему био је „Крећимо се одрживо! Останимо здрави!“.</w:t>
      </w:r>
    </w:p>
    <w:p w14:paraId="02E8DE57" w14:textId="77777777" w:rsidR="00EB346A" w:rsidRDefault="00EB346A" w:rsidP="009B4251">
      <w:pPr>
        <w:ind w:firstLine="720"/>
        <w:jc w:val="both"/>
        <w:rPr>
          <w:bCs/>
          <w:lang w:val="sr-Cyrl-RS"/>
        </w:rPr>
      </w:pPr>
    </w:p>
    <w:p w14:paraId="3AA66CF9" w14:textId="77777777" w:rsidR="00EB346A" w:rsidRPr="00EB346A" w:rsidRDefault="00EB346A" w:rsidP="009B4251">
      <w:pPr>
        <w:ind w:firstLine="720"/>
        <w:jc w:val="both"/>
        <w:rPr>
          <w:b/>
          <w:bCs/>
          <w:lang w:val="sr-Cyrl-RS"/>
        </w:rPr>
      </w:pPr>
      <w:r w:rsidRPr="00EB346A">
        <w:rPr>
          <w:b/>
          <w:bCs/>
          <w:lang w:val="sr-Cyrl-RS"/>
        </w:rPr>
        <w:t xml:space="preserve">АКТИВНОСТИ НАЦИОНАЛНИХ КООРДИНАТОРА </w:t>
      </w:r>
    </w:p>
    <w:p w14:paraId="1DAF5D3C" w14:textId="77777777" w:rsidR="00EB346A" w:rsidRPr="009B4251" w:rsidRDefault="00EB346A" w:rsidP="009B4251">
      <w:pPr>
        <w:ind w:firstLine="720"/>
        <w:jc w:val="both"/>
        <w:rPr>
          <w:lang w:val="sr-Cyrl-RS"/>
        </w:rPr>
      </w:pPr>
    </w:p>
    <w:p w14:paraId="59DD2F06" w14:textId="1D8376E5" w:rsidR="00E330D1" w:rsidRPr="00390354" w:rsidRDefault="006F0809" w:rsidP="00E330D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Користећи искуства </w:t>
      </w:r>
      <w:r w:rsidR="006A39A0">
        <w:rPr>
          <w:lang w:val="sr-Cyrl-RS"/>
        </w:rPr>
        <w:t>из претходне године, национални коорди</w:t>
      </w:r>
      <w:r w:rsidR="00405CE9">
        <w:rPr>
          <w:lang w:val="sr-Cyrl-RS"/>
        </w:rPr>
        <w:t xml:space="preserve">натори су почетком 2021. године припремили акциони план у вези са спровођењем подршке кампањи, </w:t>
      </w:r>
      <w:r w:rsidR="001A708B">
        <w:rPr>
          <w:lang w:val="sr-Cyrl-RS"/>
        </w:rPr>
        <w:t xml:space="preserve">уз сагледавање финансијског оквира за спровођење активности. И ове године, основна </w:t>
      </w:r>
      <w:r w:rsidR="00E330D1">
        <w:rPr>
          <w:lang w:val="sr-Cyrl-RS"/>
        </w:rPr>
        <w:t xml:space="preserve">финансијска </w:t>
      </w:r>
      <w:r w:rsidR="001A708B">
        <w:rPr>
          <w:lang w:val="sr-Cyrl-RS"/>
        </w:rPr>
        <w:t xml:space="preserve">подршка </w:t>
      </w:r>
      <w:r w:rsidR="00E330D1">
        <w:rPr>
          <w:lang w:val="sr-Cyrl-RS"/>
        </w:rPr>
        <w:t>спровођењу активности координатора дошла је из средстава пројекта „Подршка локалним самоуправама на путу</w:t>
      </w:r>
      <w:r w:rsidR="00E330D1" w:rsidRPr="00E330D1">
        <w:rPr>
          <w:lang w:val="sr-Cyrl-RS"/>
        </w:rPr>
        <w:t xml:space="preserve"> </w:t>
      </w:r>
      <w:r w:rsidR="00E330D1">
        <w:rPr>
          <w:lang w:val="sr-Cyrl-RS"/>
        </w:rPr>
        <w:t>ка ЕУ – друга фаза“ који финансира Влада Шведске а спроводи Стална конференција градова и општина.</w:t>
      </w:r>
    </w:p>
    <w:p w14:paraId="24962FFE" w14:textId="737BCF65" w:rsidR="00D94469" w:rsidRDefault="00E330D1" w:rsidP="00B97B7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CE79CC">
        <w:rPr>
          <w:lang w:val="sr-Cyrl-RS"/>
        </w:rPr>
        <w:t xml:space="preserve">У мају 2021. године послато је прво обавештење градовима и општинама у Србији у вези са темом овогодишње кампање. </w:t>
      </w:r>
      <w:r w:rsidR="00390354" w:rsidRPr="00390354">
        <w:rPr>
          <w:lang w:val="sr-Cyrl-RS"/>
        </w:rPr>
        <w:t>Та</w:t>
      </w:r>
      <w:r w:rsidR="00E843FC">
        <w:rPr>
          <w:lang w:val="sr-Cyrl-RS"/>
        </w:rPr>
        <w:t>кође</w:t>
      </w:r>
      <w:r w:rsidR="004464B6">
        <w:rPr>
          <w:lang w:val="sr-Cyrl-RS"/>
        </w:rPr>
        <w:t>,</w:t>
      </w:r>
      <w:r w:rsidR="00E843FC">
        <w:rPr>
          <w:lang w:val="sr-Cyrl-RS"/>
        </w:rPr>
        <w:t xml:space="preserve"> током маја </w:t>
      </w:r>
      <w:r w:rsidR="002A294F">
        <w:rPr>
          <w:lang w:val="sr-Cyrl-RS"/>
        </w:rPr>
        <w:t xml:space="preserve">месеца </w:t>
      </w:r>
      <w:r w:rsidR="00E843FC">
        <w:rPr>
          <w:lang w:val="sr-Cyrl-RS"/>
        </w:rPr>
        <w:t>С</w:t>
      </w:r>
      <w:r w:rsidR="005001CF">
        <w:rPr>
          <w:lang w:val="sr-Cyrl-RS"/>
        </w:rPr>
        <w:t>екретаријат Европске недеље мобилности</w:t>
      </w:r>
      <w:r w:rsidR="00390354" w:rsidRPr="00390354">
        <w:rPr>
          <w:lang w:val="sr-Cyrl-RS"/>
        </w:rPr>
        <w:t xml:space="preserve"> је пласирао материјале за обележавање кампање (постери</w:t>
      </w:r>
      <w:r w:rsidR="00F96913">
        <w:rPr>
          <w:lang w:val="sr-Cyrl-RS"/>
        </w:rPr>
        <w:t>, повеља градоначелника), као и</w:t>
      </w:r>
      <w:r w:rsidR="00390354" w:rsidRPr="00390354">
        <w:rPr>
          <w:lang w:val="sr-Cyrl-RS"/>
        </w:rPr>
        <w:t xml:space="preserve"> тематске смернице кој</w:t>
      </w:r>
      <w:r w:rsidR="00F96913">
        <w:rPr>
          <w:lang w:val="sr-Cyrl-RS"/>
        </w:rPr>
        <w:t>е су преведене на српски језик</w:t>
      </w:r>
      <w:r w:rsidR="00D94469">
        <w:rPr>
          <w:lang w:val="sr-Cyrl-RS"/>
        </w:rPr>
        <w:t>.</w:t>
      </w:r>
    </w:p>
    <w:p w14:paraId="2A3120FB" w14:textId="7195FC69" w:rsidR="00D94469" w:rsidRDefault="00390354" w:rsidP="002A294F">
      <w:pPr>
        <w:ind w:firstLine="720"/>
        <w:jc w:val="both"/>
        <w:rPr>
          <w:lang w:val="sr-Cyrl-RS"/>
        </w:rPr>
      </w:pPr>
      <w:r w:rsidRPr="00D94469">
        <w:rPr>
          <w:lang w:val="sr-Cyrl-RS"/>
        </w:rPr>
        <w:t xml:space="preserve">Дана </w:t>
      </w:r>
      <w:r w:rsidR="004C79FB" w:rsidRPr="00D94469">
        <w:rPr>
          <w:lang w:val="sr-Cyrl-RS"/>
        </w:rPr>
        <w:t>9</w:t>
      </w:r>
      <w:r w:rsidRPr="00D94469">
        <w:rPr>
          <w:lang w:val="sr-Cyrl-RS"/>
        </w:rPr>
        <w:t>. јула одржан</w:t>
      </w:r>
      <w:r w:rsidR="004C79FB" w:rsidRPr="00D94469">
        <w:rPr>
          <w:lang w:val="sr-Cyrl-RS"/>
        </w:rPr>
        <w:t>а</w:t>
      </w:r>
      <w:r w:rsidRPr="00D94469">
        <w:rPr>
          <w:lang w:val="sr-Cyrl-RS"/>
        </w:rPr>
        <w:t xml:space="preserve"> је информативна</w:t>
      </w:r>
      <w:r w:rsidR="004C79FB" w:rsidRPr="00D94469">
        <w:rPr>
          <w:lang w:val="sr-Cyrl-RS"/>
        </w:rPr>
        <w:t xml:space="preserve"> радионица на</w:t>
      </w:r>
      <w:r w:rsidRPr="00D94469">
        <w:rPr>
          <w:lang w:val="sr-Cyrl-RS"/>
        </w:rPr>
        <w:t xml:space="preserve"> тему</w:t>
      </w:r>
      <w:r w:rsidRPr="00390354">
        <w:rPr>
          <w:lang w:val="sr-Cyrl-RS"/>
        </w:rPr>
        <w:t xml:space="preserve"> Европске недеље мобилности са </w:t>
      </w:r>
      <w:r w:rsidR="00F96913">
        <w:rPr>
          <w:lang w:val="sr-Cyrl-RS"/>
        </w:rPr>
        <w:t>свим заинтересованим градовима и опш</w:t>
      </w:r>
      <w:r w:rsidRPr="00390354">
        <w:rPr>
          <w:lang w:val="sr-Cyrl-RS"/>
        </w:rPr>
        <w:t>тинама у Р</w:t>
      </w:r>
      <w:r w:rsidR="00F96913">
        <w:rPr>
          <w:lang w:val="sr-Cyrl-RS"/>
        </w:rPr>
        <w:t xml:space="preserve">епублици </w:t>
      </w:r>
      <w:r w:rsidRPr="00390354">
        <w:rPr>
          <w:lang w:val="sr-Cyrl-RS"/>
        </w:rPr>
        <w:t>С</w:t>
      </w:r>
      <w:r w:rsidR="00F96913">
        <w:rPr>
          <w:lang w:val="sr-Cyrl-RS"/>
        </w:rPr>
        <w:t>рбији</w:t>
      </w:r>
      <w:r w:rsidRPr="00390354">
        <w:rPr>
          <w:lang w:val="sr-Cyrl-RS"/>
        </w:rPr>
        <w:t xml:space="preserve">. </w:t>
      </w:r>
      <w:r w:rsidR="00D94469">
        <w:rPr>
          <w:lang w:val="sr-Cyrl-RS"/>
        </w:rPr>
        <w:t xml:space="preserve">Радионици је присуствовало око 50 представника градова и општина. Овом приликом организовано је и свечано потписивање споразума са градом </w:t>
      </w:r>
      <w:proofErr w:type="spellStart"/>
      <w:r w:rsidR="00D94469">
        <w:rPr>
          <w:lang w:val="sr-Cyrl-RS"/>
        </w:rPr>
        <w:t>Крушевцем</w:t>
      </w:r>
      <w:proofErr w:type="spellEnd"/>
      <w:r w:rsidR="00D94469">
        <w:rPr>
          <w:lang w:val="sr-Cyrl-RS"/>
        </w:rPr>
        <w:t xml:space="preserve">, који је добио подстицајна средства </w:t>
      </w:r>
      <w:r w:rsidR="006C7338">
        <w:rPr>
          <w:lang w:val="sr-Cyrl-RS"/>
        </w:rPr>
        <w:t>Министарства грађевинарства, саобраћаја и инфраструктуре за унапређење одрживе урбане мобилности у износу од 1 милион динара.</w:t>
      </w:r>
      <w:r w:rsidR="00A4700C">
        <w:rPr>
          <w:lang w:val="sr-Cyrl-RS"/>
        </w:rPr>
        <w:t xml:space="preserve"> Један од критеријума за доделу подстицајних средстава био је и начин обележавања Европске недеље мобилности у претходној години, па се ова подстицајна средства, могу сматрати и неком врстом националне награде за Европску недељу мобилности.</w:t>
      </w:r>
      <w:r w:rsidR="004464B6">
        <w:rPr>
          <w:lang w:val="sr-Cyrl-RS"/>
        </w:rPr>
        <w:t xml:space="preserve"> Током радионице дистрибуиране су тематске смернице на српском језику, које су допуњене примерима добре праксе из Србије из претходне године (2020).</w:t>
      </w:r>
    </w:p>
    <w:p w14:paraId="65240C38" w14:textId="6A452D30" w:rsidR="002C3426" w:rsidRDefault="00115685" w:rsidP="002A294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Радионици су присуствовали представници Агенције за безбедност саобраћаја, као и Института за јавно здравље „Милан Јовановић Батут“ који су </w:t>
      </w:r>
      <w:r w:rsidR="004B6744">
        <w:rPr>
          <w:lang w:val="sr-Cyrl-RS"/>
        </w:rPr>
        <w:t>одржали презентације у вези са својим делокругом рада а који је у вези са овогодишњом темом кампање.</w:t>
      </w:r>
    </w:p>
    <w:p w14:paraId="73AD9675" w14:textId="6178336C" w:rsidR="007E14C8" w:rsidRDefault="009935FB" w:rsidP="002A294F">
      <w:pPr>
        <w:ind w:firstLine="720"/>
        <w:jc w:val="both"/>
        <w:rPr>
          <w:lang w:val="sr-Cyrl-RS"/>
        </w:rPr>
      </w:pPr>
      <w:r>
        <w:rPr>
          <w:lang w:val="sr-Cyrl-RS"/>
        </w:rPr>
        <w:t>Као и претходне године, н</w:t>
      </w:r>
      <w:r w:rsidR="00AA517A">
        <w:rPr>
          <w:lang w:val="sr-Cyrl-RS"/>
        </w:rPr>
        <w:t>ационални координат</w:t>
      </w:r>
      <w:r w:rsidR="00506F59">
        <w:rPr>
          <w:lang w:val="sr-Cyrl-RS"/>
        </w:rPr>
        <w:t xml:space="preserve">ори су </w:t>
      </w:r>
      <w:r w:rsidR="004A0B5F">
        <w:rPr>
          <w:lang w:val="sr-Cyrl-RS"/>
        </w:rPr>
        <w:t xml:space="preserve">израдили предлог програма активности за недељу мобилности, </w:t>
      </w:r>
      <w:r>
        <w:rPr>
          <w:lang w:val="sr-Cyrl-RS"/>
        </w:rPr>
        <w:t>који је понуђен градовима и општинама као модел за организацију активности на њиховој територији.</w:t>
      </w:r>
    </w:p>
    <w:p w14:paraId="6C98EA3F" w14:textId="33121F94" w:rsidR="00D94469" w:rsidRDefault="00D94469" w:rsidP="00D94469">
      <w:pPr>
        <w:ind w:firstLine="720"/>
        <w:jc w:val="both"/>
        <w:rPr>
          <w:lang w:val="sr-Cyrl-RS"/>
        </w:rPr>
      </w:pPr>
      <w:r>
        <w:rPr>
          <w:lang w:val="sr-Cyrl-RS"/>
        </w:rPr>
        <w:t>Поред тога</w:t>
      </w:r>
      <w:r w:rsidR="009935FB">
        <w:rPr>
          <w:lang w:val="sr-Cyrl-RS"/>
        </w:rPr>
        <w:t>,</w:t>
      </w:r>
      <w:r>
        <w:rPr>
          <w:lang w:val="sr-Cyrl-RS"/>
        </w:rPr>
        <w:t xml:space="preserve"> прип</w:t>
      </w:r>
      <w:r w:rsidR="00401F39">
        <w:rPr>
          <w:lang w:val="sr-Cyrl-RS"/>
        </w:rPr>
        <w:t>р</w:t>
      </w:r>
      <w:r>
        <w:rPr>
          <w:lang w:val="sr-Cyrl-RS"/>
        </w:rPr>
        <w:t>емљен је и дистрибуиран промотивни материјал (ранчеви</w:t>
      </w:r>
      <w:r w:rsidR="006C221E">
        <w:rPr>
          <w:lang w:val="sr-Cyrl-RS"/>
        </w:rPr>
        <w:t>,</w:t>
      </w:r>
      <w:r>
        <w:rPr>
          <w:lang w:val="sr-Cyrl-RS"/>
        </w:rPr>
        <w:t xml:space="preserve"> </w:t>
      </w:r>
      <w:r w:rsidR="009935FB">
        <w:rPr>
          <w:lang w:val="sr-Cyrl-RS"/>
        </w:rPr>
        <w:t>флашице за воду</w:t>
      </w:r>
      <w:r w:rsidR="006C221E">
        <w:rPr>
          <w:lang w:val="sr-Cyrl-RS"/>
        </w:rPr>
        <w:t xml:space="preserve"> и </w:t>
      </w:r>
      <w:r w:rsidR="002C3426">
        <w:rPr>
          <w:lang w:val="sr-Cyrl-RS"/>
        </w:rPr>
        <w:t>р</w:t>
      </w:r>
      <w:r w:rsidR="006C221E">
        <w:rPr>
          <w:lang w:val="sr-Cyrl-RS"/>
        </w:rPr>
        <w:t>азгледнице</w:t>
      </w:r>
      <w:r>
        <w:rPr>
          <w:lang w:val="sr-Cyrl-RS"/>
        </w:rPr>
        <w:t>),</w:t>
      </w:r>
      <w:r w:rsidRPr="000F5369">
        <w:rPr>
          <w:lang w:val="sr-Cyrl-RS"/>
        </w:rPr>
        <w:t xml:space="preserve"> оним </w:t>
      </w:r>
      <w:r w:rsidR="006C221E">
        <w:rPr>
          <w:lang w:val="sr-Cyrl-RS"/>
        </w:rPr>
        <w:t>градовима и општинама</w:t>
      </w:r>
      <w:r>
        <w:rPr>
          <w:lang w:val="sr-Cyrl-RS"/>
        </w:rPr>
        <w:t xml:space="preserve"> које су </w:t>
      </w:r>
      <w:r w:rsidR="009935FB">
        <w:rPr>
          <w:lang w:val="sr-Cyrl-RS"/>
        </w:rPr>
        <w:t xml:space="preserve">се благовремено пријавиле на интернет страници </w:t>
      </w:r>
      <w:r>
        <w:rPr>
          <w:lang w:val="sr-Cyrl-RS"/>
        </w:rPr>
        <w:t>кампањ</w:t>
      </w:r>
      <w:r w:rsidR="009935FB">
        <w:rPr>
          <w:lang w:val="sr-Cyrl-RS"/>
        </w:rPr>
        <w:t>е</w:t>
      </w:r>
      <w:r>
        <w:rPr>
          <w:lang w:val="sr-Cyrl-RS"/>
        </w:rPr>
        <w:t xml:space="preserve">. Овај промо материјал израђен је уз финансијску подршку пројекта „Подршка </w:t>
      </w:r>
      <w:r>
        <w:rPr>
          <w:lang w:val="sr-Cyrl-RS"/>
        </w:rPr>
        <w:lastRenderedPageBreak/>
        <w:t>локалним самоуправама у Србији на путу ка ЕУ – друга фаза“  који финансира Влада Шведске а спроводи Стална конференција градова и општина</w:t>
      </w:r>
      <w:r w:rsidR="001F1D31">
        <w:rPr>
          <w:lang w:val="sr-Cyrl-RS"/>
        </w:rPr>
        <w:t>.</w:t>
      </w:r>
    </w:p>
    <w:p w14:paraId="645D5BD5" w14:textId="2ACC90EC" w:rsidR="00D94469" w:rsidRDefault="005939EB" w:rsidP="002A294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Постери Европске недеље мобилности дистрибуирани су свим градовима и општинама у Србији, уз позив за обележавање ЕНМ, који је упућен свим градовима и општинама </w:t>
      </w:r>
      <w:r w:rsidR="00771415">
        <w:rPr>
          <w:lang w:val="sr-Cyrl-RS"/>
        </w:rPr>
        <w:t>у августу 2021. године.</w:t>
      </w:r>
    </w:p>
    <w:p w14:paraId="62D13B91" w14:textId="77777777" w:rsidR="00446863" w:rsidRDefault="00446863" w:rsidP="00177B70">
      <w:pPr>
        <w:jc w:val="both"/>
        <w:rPr>
          <w:lang w:val="sr-Cyrl-RS"/>
        </w:rPr>
      </w:pPr>
    </w:p>
    <w:p w14:paraId="0FE70458" w14:textId="77777777" w:rsidR="00274D6F" w:rsidRPr="00274D6F" w:rsidRDefault="00274D6F" w:rsidP="00F96913">
      <w:pPr>
        <w:ind w:firstLine="720"/>
        <w:jc w:val="both"/>
        <w:rPr>
          <w:b/>
          <w:lang w:val="sr-Cyrl-RS"/>
        </w:rPr>
      </w:pPr>
      <w:r w:rsidRPr="00274D6F">
        <w:rPr>
          <w:b/>
          <w:lang w:val="sr-Cyrl-RS"/>
        </w:rPr>
        <w:t>САРАДЊА СА ПАРТНЕРИМА</w:t>
      </w:r>
    </w:p>
    <w:p w14:paraId="2C9E4F34" w14:textId="77777777" w:rsidR="00274D6F" w:rsidRPr="00390354" w:rsidRDefault="00274D6F" w:rsidP="00F96913">
      <w:pPr>
        <w:ind w:firstLine="720"/>
        <w:jc w:val="both"/>
        <w:rPr>
          <w:lang w:val="sr-Cyrl-RS"/>
        </w:rPr>
      </w:pPr>
    </w:p>
    <w:p w14:paraId="69C18A85" w14:textId="38C3DD8F" w:rsidR="00B97B77" w:rsidRPr="008074E9" w:rsidRDefault="00176947" w:rsidP="00771415">
      <w:pPr>
        <w:ind w:firstLine="720"/>
        <w:jc w:val="both"/>
        <w:rPr>
          <w:lang w:val="sr-Cyrl-RS"/>
        </w:rPr>
      </w:pPr>
      <w:r>
        <w:rPr>
          <w:lang w:val="sr-Cyrl-RS"/>
        </w:rPr>
        <w:t>Након одржане информативне радионице</w:t>
      </w:r>
      <w:r w:rsidR="00685CCF">
        <w:rPr>
          <w:lang w:val="sr-Cyrl-RS"/>
        </w:rPr>
        <w:t>, а следећи праксу сарадње успостављену претходне године, координатори су се обратили Агенцији за безбедност саобраћаја са предлогом да и ове годи</w:t>
      </w:r>
      <w:r w:rsidR="00241A65">
        <w:rPr>
          <w:lang w:val="sr-Cyrl-RS"/>
        </w:rPr>
        <w:t xml:space="preserve">не подрже кампању Европске недеље мобилности. Агенција за безбедност саобраћаја је у том смислу упутила допис свим председницима локалних Савета за послове координације безбедности саобраћаја који су позвани да се и ове године укључе и </w:t>
      </w:r>
      <w:r w:rsidR="001A32C8">
        <w:rPr>
          <w:lang w:val="sr-Cyrl-RS"/>
        </w:rPr>
        <w:t>подрже одржавање активности током кампање Европске недеље мобилности у својим јединицама локалне самоуправе</w:t>
      </w:r>
      <w:r w:rsidR="00241A65">
        <w:rPr>
          <w:lang w:val="sr-Cyrl-RS"/>
        </w:rPr>
        <w:t xml:space="preserve">. </w:t>
      </w:r>
      <w:r w:rsidR="001A32C8">
        <w:rPr>
          <w:lang w:val="sr-Cyrl-RS"/>
        </w:rPr>
        <w:t xml:space="preserve"> </w:t>
      </w:r>
    </w:p>
    <w:p w14:paraId="1D2A5DC2" w14:textId="49B9804A" w:rsidR="00493CB5" w:rsidRDefault="00493CB5" w:rsidP="000C71A6">
      <w:pPr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Траснпортна</w:t>
      </w:r>
      <w:proofErr w:type="spellEnd"/>
      <w:r>
        <w:rPr>
          <w:lang w:val="sr-Cyrl-RS"/>
        </w:rPr>
        <w:t xml:space="preserve"> заједница је ступила у контакт са националним координаторима у </w:t>
      </w:r>
      <w:r w:rsidR="00F62E89">
        <w:rPr>
          <w:lang w:val="sr-Cyrl-RS"/>
        </w:rPr>
        <w:t>жељи да промовише своје активности током ЕНМ. Након обављених консултација са координаторима у два наврата, организован је он</w:t>
      </w:r>
      <w:r w:rsidR="00771415">
        <w:rPr>
          <w:lang w:val="sr-Cyrl-RS"/>
        </w:rPr>
        <w:t>-</w:t>
      </w:r>
      <w:proofErr w:type="spellStart"/>
      <w:r w:rsidR="00F62E89">
        <w:rPr>
          <w:lang w:val="sr-Cyrl-RS"/>
        </w:rPr>
        <w:t>лајн</w:t>
      </w:r>
      <w:proofErr w:type="spellEnd"/>
      <w:r w:rsidR="00F62E89">
        <w:rPr>
          <w:lang w:val="sr-Cyrl-RS"/>
        </w:rPr>
        <w:t xml:space="preserve"> догађај 21. септембра на тему промоције одрживе урбане мобилности, на коме су учествовали актери из региона. Из Србије учествовао је представ</w:t>
      </w:r>
      <w:r w:rsidR="00903E4A">
        <w:rPr>
          <w:lang w:val="sr-Cyrl-RS"/>
        </w:rPr>
        <w:t>ник града Крушевца.</w:t>
      </w:r>
    </w:p>
    <w:p w14:paraId="1E0A473B" w14:textId="77777777" w:rsidR="00771415" w:rsidRDefault="00771415" w:rsidP="0077141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СКГО је у својству координатора ЕНМ подржао активност града Београда – </w:t>
      </w:r>
      <w:proofErr w:type="spellStart"/>
      <w:r>
        <w:rPr>
          <w:lang w:val="sr-Cyrl-RS"/>
        </w:rPr>
        <w:t>фотоконкурс</w:t>
      </w:r>
      <w:proofErr w:type="spellEnd"/>
      <w:r>
        <w:rPr>
          <w:lang w:val="sr-Cyrl-RS"/>
        </w:rPr>
        <w:t xml:space="preserve"> на друштвеној мрежи </w:t>
      </w:r>
      <w:proofErr w:type="spellStart"/>
      <w:r>
        <w:rPr>
          <w:lang w:val="sr-Cyrl-RS"/>
        </w:rPr>
        <w:t>Инстаграм</w:t>
      </w:r>
      <w:proofErr w:type="spellEnd"/>
      <w:r>
        <w:rPr>
          <w:lang w:val="sr-Cyrl-RS"/>
        </w:rPr>
        <w:t xml:space="preserve"> под називом „Одржива мобилност за здравији живот“. На конкурс је пристигло преко 100 фотографија, за најбоље фотографије награде су обезбедили Делегација ЕУ у Србији и УНДП, а најбоље фотографије (око 40 фотографија) изложене су током Европске недеље мобилности на Тргу Републике.</w:t>
      </w:r>
    </w:p>
    <w:p w14:paraId="11A5A164" w14:textId="77777777" w:rsidR="00F45330" w:rsidRDefault="00F45330" w:rsidP="00390354">
      <w:pPr>
        <w:jc w:val="both"/>
        <w:rPr>
          <w:lang w:val="sr-Cyrl-RS"/>
        </w:rPr>
      </w:pPr>
    </w:p>
    <w:p w14:paraId="1A2D3A38" w14:textId="1B77B0EC" w:rsidR="00B97B77" w:rsidRPr="001D7257" w:rsidRDefault="00B97B77" w:rsidP="001D7257">
      <w:pPr>
        <w:ind w:firstLine="720"/>
        <w:jc w:val="both"/>
        <w:rPr>
          <w:b/>
          <w:lang w:val="sr-Cyrl-RS"/>
        </w:rPr>
      </w:pPr>
      <w:r w:rsidRPr="001D7257">
        <w:rPr>
          <w:b/>
          <w:lang w:val="sr-Cyrl-RS"/>
        </w:rPr>
        <w:t>УЧЕСНИЦИ</w:t>
      </w:r>
      <w:r w:rsidR="008F582F">
        <w:rPr>
          <w:b/>
          <w:lang w:val="sr-Cyrl-RS"/>
        </w:rPr>
        <w:t xml:space="preserve"> </w:t>
      </w:r>
      <w:r w:rsidR="00924E5E">
        <w:rPr>
          <w:b/>
          <w:lang w:val="sr-Cyrl-RS"/>
        </w:rPr>
        <w:t xml:space="preserve">КАМПАЊЕ </w:t>
      </w:r>
      <w:r w:rsidR="008A5EF8">
        <w:rPr>
          <w:b/>
          <w:lang w:val="sr-Cyrl-RS"/>
        </w:rPr>
        <w:t>–</w:t>
      </w:r>
      <w:r w:rsidR="008F582F">
        <w:rPr>
          <w:b/>
          <w:lang w:val="sr-Cyrl-RS"/>
        </w:rPr>
        <w:t xml:space="preserve"> </w:t>
      </w:r>
      <w:r w:rsidR="008A5EF8">
        <w:rPr>
          <w:b/>
          <w:lang w:val="sr-Cyrl-RS"/>
        </w:rPr>
        <w:t>ГРАДОВИ И ОПШТИНЕ</w:t>
      </w:r>
    </w:p>
    <w:p w14:paraId="541F355C" w14:textId="77777777" w:rsidR="00975A05" w:rsidRDefault="00975A05" w:rsidP="00390354">
      <w:pPr>
        <w:jc w:val="both"/>
        <w:rPr>
          <w:lang w:val="sr-Cyrl-RS"/>
        </w:rPr>
      </w:pPr>
    </w:p>
    <w:p w14:paraId="4C4EDB0B" w14:textId="5F27B990" w:rsidR="00975A05" w:rsidRDefault="00975A05" w:rsidP="00696697">
      <w:pPr>
        <w:ind w:firstLine="720"/>
        <w:jc w:val="both"/>
        <w:rPr>
          <w:lang w:val="sr-Cyrl-RS"/>
        </w:rPr>
      </w:pPr>
      <w:r w:rsidRPr="00741E81">
        <w:rPr>
          <w:lang w:val="sr-Cyrl-RS"/>
        </w:rPr>
        <w:t xml:space="preserve">Укупан број </w:t>
      </w:r>
      <w:r w:rsidRPr="00741E81">
        <w:rPr>
          <w:b/>
          <w:lang w:val="sr-Cyrl-RS"/>
        </w:rPr>
        <w:t>регистрованих ЈЛС</w:t>
      </w:r>
      <w:r w:rsidRPr="00741E81">
        <w:rPr>
          <w:lang w:val="sr-Cyrl-RS"/>
        </w:rPr>
        <w:t xml:space="preserve"> које су узеле учешће у овогодишњој кампањи је </w:t>
      </w:r>
      <w:r w:rsidR="006009B0" w:rsidRPr="00741E81">
        <w:rPr>
          <w:b/>
          <w:lang w:val="sr-Latn-RS"/>
        </w:rPr>
        <w:t>29</w:t>
      </w:r>
      <w:r w:rsidR="00456B3C" w:rsidRPr="00741E81">
        <w:rPr>
          <w:b/>
          <w:lang w:val="sr-Cyrl-RS"/>
        </w:rPr>
        <w:t xml:space="preserve"> </w:t>
      </w:r>
      <w:r w:rsidR="00456B3C" w:rsidRPr="00741E81">
        <w:rPr>
          <w:lang w:val="sr-Cyrl-RS"/>
        </w:rPr>
        <w:t>(Табела 1</w:t>
      </w:r>
      <w:r w:rsidR="005F75F1" w:rsidRPr="00741E81">
        <w:rPr>
          <w:lang w:val="sr-Cyrl-RS"/>
        </w:rPr>
        <w:t>.</w:t>
      </w:r>
      <w:r w:rsidR="00456B3C" w:rsidRPr="00741E81">
        <w:rPr>
          <w:lang w:val="sr-Cyrl-RS"/>
        </w:rPr>
        <w:t>)</w:t>
      </w:r>
      <w:r w:rsidR="00C01B4A" w:rsidRPr="00741E81">
        <w:rPr>
          <w:lang w:val="sr-Cyrl-RS"/>
        </w:rPr>
        <w:t>,</w:t>
      </w:r>
      <w:r w:rsidR="00C01B4A" w:rsidRPr="00741E81">
        <w:rPr>
          <w:b/>
          <w:lang w:val="sr-Cyrl-RS"/>
        </w:rPr>
        <w:t xml:space="preserve"> </w:t>
      </w:r>
      <w:r w:rsidR="00C01B4A" w:rsidRPr="00741E81">
        <w:rPr>
          <w:lang w:val="sr-Cyrl-RS"/>
        </w:rPr>
        <w:t>што Републику Србију сврст</w:t>
      </w:r>
      <w:r w:rsidR="002620B1" w:rsidRPr="00741E81">
        <w:rPr>
          <w:lang w:val="sr-Cyrl-RS"/>
        </w:rPr>
        <w:t>а</w:t>
      </w:r>
      <w:r w:rsidR="00C01B4A" w:rsidRPr="00741E81">
        <w:rPr>
          <w:lang w:val="sr-Cyrl-RS"/>
        </w:rPr>
        <w:t>ва на 1</w:t>
      </w:r>
      <w:r w:rsidR="0098351F" w:rsidRPr="00741E81">
        <w:rPr>
          <w:lang w:val="sr-Cyrl-RS"/>
        </w:rPr>
        <w:t>8.</w:t>
      </w:r>
      <w:r w:rsidR="00C01B4A" w:rsidRPr="00741E81">
        <w:rPr>
          <w:lang w:val="sr-Cyrl-RS"/>
        </w:rPr>
        <w:t xml:space="preserve"> место, од </w:t>
      </w:r>
      <w:r w:rsidR="00DF537F" w:rsidRPr="00741E81">
        <w:rPr>
          <w:lang w:val="sr-Cyrl-RS"/>
        </w:rPr>
        <w:t xml:space="preserve">укупно </w:t>
      </w:r>
      <w:r w:rsidR="00C01B4A" w:rsidRPr="00741E81">
        <w:rPr>
          <w:lang w:val="sr-Cyrl-RS"/>
        </w:rPr>
        <w:t>5</w:t>
      </w:r>
      <w:r w:rsidR="00934D6F" w:rsidRPr="00741E81">
        <w:rPr>
          <w:lang w:val="sr-Cyrl-RS"/>
        </w:rPr>
        <w:t>3</w:t>
      </w:r>
      <w:r w:rsidR="00C01B4A" w:rsidRPr="00741E81">
        <w:rPr>
          <w:lang w:val="sr-Cyrl-RS"/>
        </w:rPr>
        <w:t xml:space="preserve"> државе које су биле учеснице овогодишње кампање.</w:t>
      </w:r>
      <w:r w:rsidR="00696697">
        <w:rPr>
          <w:lang w:val="sr-Cyrl-RS"/>
        </w:rPr>
        <w:t xml:space="preserve"> Такође, </w:t>
      </w:r>
      <w:r w:rsidR="002620B1">
        <w:rPr>
          <w:lang w:val="sr-Cyrl-RS"/>
        </w:rPr>
        <w:t xml:space="preserve">укупан </w:t>
      </w:r>
      <w:r w:rsidR="002F69F6">
        <w:rPr>
          <w:lang w:val="sr-Cyrl-RS"/>
        </w:rPr>
        <w:t xml:space="preserve">број тзв. </w:t>
      </w:r>
      <w:r w:rsidR="002F69F6" w:rsidRPr="006009B0">
        <w:rPr>
          <w:lang w:val="sr-Cyrl-RS"/>
        </w:rPr>
        <w:t>„</w:t>
      </w:r>
      <w:r w:rsidR="002F69F6" w:rsidRPr="006009B0">
        <w:rPr>
          <w:b/>
          <w:lang w:val="sr-Cyrl-RS"/>
        </w:rPr>
        <w:t>златних учесника</w:t>
      </w:r>
      <w:r w:rsidR="002F69F6" w:rsidRPr="00741E81">
        <w:rPr>
          <w:b/>
          <w:lang w:val="sr-Cyrl-RS"/>
        </w:rPr>
        <w:t>“</w:t>
      </w:r>
      <w:r w:rsidR="002F69F6" w:rsidRPr="008D0FB0">
        <w:rPr>
          <w:b/>
          <w:lang w:val="sr-Cyrl-RS"/>
        </w:rPr>
        <w:t xml:space="preserve"> је </w:t>
      </w:r>
      <w:r w:rsidR="004035B9" w:rsidRPr="008D0FB0">
        <w:rPr>
          <w:b/>
          <w:lang w:val="sr-Cyrl-RS"/>
        </w:rPr>
        <w:t xml:space="preserve">био </w:t>
      </w:r>
      <w:r w:rsidR="002F69F6" w:rsidRPr="008D0FB0">
        <w:rPr>
          <w:b/>
          <w:lang w:val="sr-Cyrl-RS"/>
        </w:rPr>
        <w:t>1</w:t>
      </w:r>
      <w:r w:rsidR="00E01B3E">
        <w:rPr>
          <w:b/>
          <w:lang w:val="sr-Cyrl-RS"/>
        </w:rPr>
        <w:t>1</w:t>
      </w:r>
      <w:r w:rsidR="002F69F6">
        <w:rPr>
          <w:lang w:val="sr-Cyrl-RS"/>
        </w:rPr>
        <w:t>, што је такође најбољи резултат од почетка обележавања кампање у Републици Србији.</w:t>
      </w:r>
      <w:r w:rsidR="00E01B3E">
        <w:rPr>
          <w:lang w:val="sr-Cyrl-RS"/>
        </w:rPr>
        <w:t xml:space="preserve"> </w:t>
      </w:r>
      <w:r w:rsidR="005F2FEE">
        <w:rPr>
          <w:lang w:val="sr-Cyrl-RS"/>
        </w:rPr>
        <w:t xml:space="preserve">Примећен је, дакле, пад учешћа од </w:t>
      </w:r>
      <w:r w:rsidR="001673D3">
        <w:rPr>
          <w:lang w:val="sr-Cyrl-RS"/>
        </w:rPr>
        <w:t>7%, у односу на претходну годину, али и повећање броја златних учесника, што говори у прилог повећању суштинског ангажмана ЈЛС на унапређењу мобилности.</w:t>
      </w:r>
    </w:p>
    <w:p w14:paraId="08361FEC" w14:textId="77777777" w:rsidR="00DA47AE" w:rsidRDefault="00DA47AE" w:rsidP="00696697">
      <w:pPr>
        <w:ind w:firstLine="720"/>
        <w:jc w:val="both"/>
        <w:rPr>
          <w:lang w:val="sr-Cyrl-RS"/>
        </w:rPr>
      </w:pPr>
    </w:p>
    <w:p w14:paraId="1F735BEE" w14:textId="77777777" w:rsidR="00AF1E0B" w:rsidRDefault="00AF1E0B" w:rsidP="00696697">
      <w:pPr>
        <w:ind w:firstLine="720"/>
        <w:jc w:val="both"/>
        <w:rPr>
          <w:lang w:val="sr-Cyrl-RS"/>
        </w:rPr>
      </w:pPr>
    </w:p>
    <w:p w14:paraId="479E2695" w14:textId="64785C01" w:rsidR="00F01831" w:rsidRPr="00F01831" w:rsidRDefault="00DA47AE" w:rsidP="00F01831">
      <w:pPr>
        <w:jc w:val="both"/>
        <w:rPr>
          <w:i/>
          <w:lang w:val="sr-Cyrl-RS"/>
        </w:rPr>
      </w:pPr>
      <w:r w:rsidRPr="00F01831">
        <w:rPr>
          <w:i/>
          <w:lang w:val="sr-Cyrl-RS"/>
        </w:rPr>
        <w:t xml:space="preserve">Табела </w:t>
      </w:r>
      <w:r w:rsidR="00F01831">
        <w:rPr>
          <w:i/>
          <w:lang w:val="sr-Cyrl-RS"/>
        </w:rPr>
        <w:t xml:space="preserve">1 – </w:t>
      </w:r>
      <w:r w:rsidRPr="00F01831">
        <w:rPr>
          <w:i/>
          <w:lang w:val="sr-Cyrl-RS"/>
        </w:rPr>
        <w:t>пријављен</w:t>
      </w:r>
      <w:r w:rsidR="00F01831">
        <w:rPr>
          <w:i/>
          <w:lang w:val="sr-Cyrl-RS"/>
        </w:rPr>
        <w:t>и градови и</w:t>
      </w:r>
      <w:r w:rsidRPr="00F01831">
        <w:rPr>
          <w:i/>
          <w:lang w:val="sr-Cyrl-RS"/>
        </w:rPr>
        <w:t xml:space="preserve"> општина </w:t>
      </w:r>
    </w:p>
    <w:p w14:paraId="516E558A" w14:textId="6405A52A" w:rsidR="00DA47AE" w:rsidRPr="00F01831" w:rsidRDefault="00F01831" w:rsidP="00F01831">
      <w:pPr>
        <w:jc w:val="both"/>
        <w:rPr>
          <w:i/>
          <w:lang w:val="sr-Cyrl-RS"/>
        </w:rPr>
      </w:pPr>
      <w:r w:rsidRPr="00F01831">
        <w:rPr>
          <w:i/>
          <w:lang w:val="sr-Cyrl-RS"/>
        </w:rPr>
        <w:t>„златни“ учесници су означени жутом бојом.</w:t>
      </w:r>
    </w:p>
    <w:p w14:paraId="10D46FDE" w14:textId="77777777" w:rsidR="00975A05" w:rsidRDefault="00975A05" w:rsidP="0039035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843"/>
        <w:gridCol w:w="1842"/>
      </w:tblGrid>
      <w:tr w:rsidR="00975A05" w:rsidRPr="005052F8" w14:paraId="16B086A5" w14:textId="77777777" w:rsidTr="00E85857">
        <w:trPr>
          <w:trHeight w:val="598"/>
        </w:trPr>
        <w:tc>
          <w:tcPr>
            <w:tcW w:w="534" w:type="dxa"/>
            <w:shd w:val="clear" w:color="auto" w:fill="92D050"/>
          </w:tcPr>
          <w:p w14:paraId="40D45E3B" w14:textId="77777777" w:rsidR="00975A05" w:rsidRPr="005052F8" w:rsidRDefault="00975A05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РБ</w:t>
            </w:r>
          </w:p>
        </w:tc>
        <w:tc>
          <w:tcPr>
            <w:tcW w:w="3118" w:type="dxa"/>
            <w:shd w:val="clear" w:color="auto" w:fill="92D050"/>
          </w:tcPr>
          <w:p w14:paraId="2E2FDB52" w14:textId="77777777" w:rsidR="00975A05" w:rsidRPr="005052F8" w:rsidRDefault="00975A05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ЈЛС</w:t>
            </w:r>
          </w:p>
        </w:tc>
        <w:tc>
          <w:tcPr>
            <w:tcW w:w="1843" w:type="dxa"/>
            <w:shd w:val="clear" w:color="auto" w:fill="92D050"/>
          </w:tcPr>
          <w:p w14:paraId="7CFDA31D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Активности током недеље</w:t>
            </w:r>
          </w:p>
        </w:tc>
        <w:tc>
          <w:tcPr>
            <w:tcW w:w="1843" w:type="dxa"/>
            <w:shd w:val="clear" w:color="auto" w:fill="92D050"/>
          </w:tcPr>
          <w:p w14:paraId="296796EF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Трајне мере</w:t>
            </w:r>
          </w:p>
        </w:tc>
        <w:tc>
          <w:tcPr>
            <w:tcW w:w="1842" w:type="dxa"/>
            <w:shd w:val="clear" w:color="auto" w:fill="92D050"/>
          </w:tcPr>
          <w:p w14:paraId="06160AFF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Дан без аутомобила</w:t>
            </w:r>
          </w:p>
        </w:tc>
      </w:tr>
      <w:tr w:rsidR="00975A05" w14:paraId="230E7BCE" w14:textId="77777777" w:rsidTr="00877A57">
        <w:tc>
          <w:tcPr>
            <w:tcW w:w="534" w:type="dxa"/>
            <w:shd w:val="clear" w:color="auto" w:fill="FFFF00"/>
          </w:tcPr>
          <w:p w14:paraId="0D2A2FA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2672C6A0" w14:textId="1B9CC4A7" w:rsidR="00975A05" w:rsidRDefault="00E8585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Алексинац</w:t>
            </w:r>
          </w:p>
        </w:tc>
        <w:tc>
          <w:tcPr>
            <w:tcW w:w="1843" w:type="dxa"/>
            <w:shd w:val="clear" w:color="auto" w:fill="FFFF00"/>
          </w:tcPr>
          <w:p w14:paraId="1C3AC15E" w14:textId="6831030C" w:rsidR="00975A05" w:rsidRDefault="00E85857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1518F371" w14:textId="3B4ECF08" w:rsidR="00975A05" w:rsidRDefault="00E85857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793FE3AE" w14:textId="5969406B" w:rsidR="00975A05" w:rsidRPr="006009B0" w:rsidRDefault="00E85857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7DDA38B7" w14:textId="77777777" w:rsidTr="00877A57">
        <w:tc>
          <w:tcPr>
            <w:tcW w:w="534" w:type="dxa"/>
            <w:shd w:val="clear" w:color="auto" w:fill="FFFFFF" w:themeFill="background1"/>
          </w:tcPr>
          <w:p w14:paraId="7DB04F6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FE2D36B" w14:textId="4FD85657" w:rsidR="00975A05" w:rsidRDefault="00E8585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Бела Паланка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BD5A847" w14:textId="347DECF0" w:rsidR="00975A05" w:rsidRPr="006009B0" w:rsidRDefault="00BC3782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FF" w:themeFill="background1"/>
          </w:tcPr>
          <w:p w14:paraId="7EA5A818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42EAE1C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</w:tr>
      <w:tr w:rsidR="00975A05" w14:paraId="6A89861F" w14:textId="77777777" w:rsidTr="00877A57">
        <w:tc>
          <w:tcPr>
            <w:tcW w:w="534" w:type="dxa"/>
            <w:shd w:val="clear" w:color="auto" w:fill="FFFF00"/>
          </w:tcPr>
          <w:p w14:paraId="37BECECD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2E104DF0" w14:textId="749A3D24" w:rsidR="00975A05" w:rsidRDefault="00BC3782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843" w:type="dxa"/>
            <w:shd w:val="clear" w:color="auto" w:fill="FFFF00"/>
          </w:tcPr>
          <w:p w14:paraId="428AC442" w14:textId="5C2871CE" w:rsidR="00975A05" w:rsidRDefault="00BC3782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6097EA2C" w14:textId="16A2E30D" w:rsidR="00975A05" w:rsidRDefault="00BC3782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3EFF7DCA" w14:textId="01ED1CD4" w:rsidR="00975A05" w:rsidRPr="006009B0" w:rsidRDefault="00BC3782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0D4A815C" w14:textId="77777777" w:rsidTr="004035B9">
        <w:tc>
          <w:tcPr>
            <w:tcW w:w="534" w:type="dxa"/>
          </w:tcPr>
          <w:p w14:paraId="38EB4800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53601B1" w14:textId="5D1D3CAD" w:rsidR="00975A05" w:rsidRDefault="005C07DB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Блаце</w:t>
            </w:r>
          </w:p>
        </w:tc>
        <w:tc>
          <w:tcPr>
            <w:tcW w:w="1843" w:type="dxa"/>
          </w:tcPr>
          <w:p w14:paraId="73EBA708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3" w:type="dxa"/>
          </w:tcPr>
          <w:p w14:paraId="3273E5E7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2" w:type="dxa"/>
          </w:tcPr>
          <w:p w14:paraId="23479C79" w14:textId="02827885" w:rsidR="00975A05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8DA1BEF" w14:textId="77777777" w:rsidTr="004035B9">
        <w:tc>
          <w:tcPr>
            <w:tcW w:w="534" w:type="dxa"/>
            <w:shd w:val="clear" w:color="auto" w:fill="FFFF00"/>
          </w:tcPr>
          <w:p w14:paraId="7E51711F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156DB623" w14:textId="6A05153B" w:rsidR="00975A05" w:rsidRDefault="005C07DB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Бољевац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14:paraId="2CF12A91" w14:textId="5729D1A8" w:rsidR="00975A05" w:rsidRPr="006009B0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3AFACBF3" w14:textId="7A5CFC7C" w:rsidR="00975A05" w:rsidRPr="006009B0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426F09DC" w14:textId="5C4F14CF" w:rsidR="00975A05" w:rsidRPr="006009B0" w:rsidRDefault="005C07DB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DCAE5D6" w14:textId="77777777" w:rsidTr="004035B9">
        <w:tc>
          <w:tcPr>
            <w:tcW w:w="534" w:type="dxa"/>
          </w:tcPr>
          <w:p w14:paraId="226E5F9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7F55ED6E" w14:textId="3215DFCF" w:rsidR="00975A05" w:rsidRDefault="005C07DB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Бујановац</w:t>
            </w:r>
          </w:p>
        </w:tc>
        <w:tc>
          <w:tcPr>
            <w:tcW w:w="1843" w:type="dxa"/>
          </w:tcPr>
          <w:p w14:paraId="1E82A367" w14:textId="0C37C38C" w:rsidR="00975A05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</w:tcPr>
          <w:p w14:paraId="14C36570" w14:textId="77777777" w:rsidR="00975A05" w:rsidRDefault="00975A05" w:rsidP="00772378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14:paraId="271723F3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</w:tr>
      <w:tr w:rsidR="00975A05" w14:paraId="743EC24E" w14:textId="77777777" w:rsidTr="00E06493">
        <w:tc>
          <w:tcPr>
            <w:tcW w:w="534" w:type="dxa"/>
            <w:shd w:val="clear" w:color="auto" w:fill="FFFF00"/>
          </w:tcPr>
          <w:p w14:paraId="2BE0244D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50DD647B" w14:textId="53B10512" w:rsidR="00975A05" w:rsidRDefault="005C07DB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Чајетина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14:paraId="58649999" w14:textId="491C6DF0" w:rsidR="00975A05" w:rsidRPr="006009B0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26657766" w14:textId="62B26754" w:rsidR="00975A05" w:rsidRDefault="005C07DB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1DA23E5A" w14:textId="336F964C" w:rsidR="00975A05" w:rsidRDefault="00C90D5C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6E80FF7E" w14:textId="77777777" w:rsidTr="004035B9">
        <w:tc>
          <w:tcPr>
            <w:tcW w:w="534" w:type="dxa"/>
          </w:tcPr>
          <w:p w14:paraId="26B132B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76F313B5" w14:textId="3FFE2883" w:rsidR="00975A05" w:rsidRDefault="00C90D5C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Ћићевац</w:t>
            </w:r>
            <w:proofErr w:type="spellEnd"/>
          </w:p>
        </w:tc>
        <w:tc>
          <w:tcPr>
            <w:tcW w:w="1843" w:type="dxa"/>
          </w:tcPr>
          <w:p w14:paraId="6647EB4E" w14:textId="77777777" w:rsidR="00975A05" w:rsidRDefault="00975A05" w:rsidP="00772378">
            <w:pPr>
              <w:rPr>
                <w:lang w:val="sr-Cyrl-RS"/>
              </w:rPr>
            </w:pPr>
          </w:p>
        </w:tc>
        <w:tc>
          <w:tcPr>
            <w:tcW w:w="1843" w:type="dxa"/>
          </w:tcPr>
          <w:p w14:paraId="701B068B" w14:textId="77777777" w:rsidR="00975A05" w:rsidRDefault="00975A05" w:rsidP="00772378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14:paraId="57D70253" w14:textId="14650F45" w:rsidR="00975A05" w:rsidRPr="006009B0" w:rsidRDefault="00C90D5C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5592454D" w14:textId="77777777" w:rsidTr="00EE4EF4">
        <w:tc>
          <w:tcPr>
            <w:tcW w:w="534" w:type="dxa"/>
            <w:shd w:val="clear" w:color="auto" w:fill="FFFFFF" w:themeFill="background1"/>
          </w:tcPr>
          <w:p w14:paraId="65D680B4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71146403" w14:textId="1EF31BE7" w:rsidR="00975A05" w:rsidRDefault="000D5491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Горњи Милановац</w:t>
            </w:r>
          </w:p>
        </w:tc>
        <w:tc>
          <w:tcPr>
            <w:tcW w:w="1843" w:type="dxa"/>
            <w:shd w:val="clear" w:color="auto" w:fill="FFFFFF" w:themeFill="background1"/>
          </w:tcPr>
          <w:p w14:paraId="364DB323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DE1CDB" w14:textId="77777777" w:rsidR="00975A05" w:rsidRPr="006009B0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D05E0EA" w14:textId="5935E1D5" w:rsidR="00975A05" w:rsidRPr="006009B0" w:rsidRDefault="000D5491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1EAA1C02" w14:textId="77777777" w:rsidTr="00EE4EF4">
        <w:tc>
          <w:tcPr>
            <w:tcW w:w="534" w:type="dxa"/>
            <w:shd w:val="clear" w:color="auto" w:fill="FFFF00"/>
          </w:tcPr>
          <w:p w14:paraId="67798212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3B7FEA58" w14:textId="0458AEC8" w:rsidR="00975A05" w:rsidRDefault="000D5491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1843" w:type="dxa"/>
            <w:shd w:val="clear" w:color="auto" w:fill="FFFF00"/>
          </w:tcPr>
          <w:p w14:paraId="354E0AD6" w14:textId="387DCFC3" w:rsidR="00975A05" w:rsidRPr="006009B0" w:rsidRDefault="00536BE7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0E02778E" w14:textId="4D984D2C" w:rsidR="00975A05" w:rsidRDefault="00536BE7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0FB144D3" w14:textId="18CA69FA" w:rsidR="00975A05" w:rsidRDefault="00536BE7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1FCB58AA" w14:textId="77777777" w:rsidTr="00EE4EF4">
        <w:tc>
          <w:tcPr>
            <w:tcW w:w="534" w:type="dxa"/>
            <w:shd w:val="clear" w:color="auto" w:fill="FFFFFF" w:themeFill="background1"/>
          </w:tcPr>
          <w:p w14:paraId="7F014BE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6FC981DB" w14:textId="05612AA4" w:rsidR="00975A05" w:rsidRDefault="00536BE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Кикинда</w:t>
            </w:r>
          </w:p>
        </w:tc>
        <w:tc>
          <w:tcPr>
            <w:tcW w:w="1843" w:type="dxa"/>
            <w:shd w:val="clear" w:color="auto" w:fill="FFFFFF" w:themeFill="background1"/>
          </w:tcPr>
          <w:p w14:paraId="20879D88" w14:textId="6784E673" w:rsidR="00975A05" w:rsidRPr="006009B0" w:rsidRDefault="00772378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FF" w:themeFill="background1"/>
          </w:tcPr>
          <w:p w14:paraId="0DB31E56" w14:textId="77777777" w:rsidR="00975A05" w:rsidRPr="00536BE7" w:rsidRDefault="00975A05" w:rsidP="00772378">
            <w:pPr>
              <w:ind w:left="360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B9F7800" w14:textId="77777777" w:rsidR="00975A05" w:rsidRPr="00536BE7" w:rsidRDefault="00975A05" w:rsidP="00772378">
            <w:pPr>
              <w:ind w:left="360"/>
              <w:rPr>
                <w:lang w:val="sr-Cyrl-RS"/>
              </w:rPr>
            </w:pPr>
          </w:p>
        </w:tc>
      </w:tr>
      <w:tr w:rsidR="00975A05" w14:paraId="00A98238" w14:textId="77777777" w:rsidTr="004035B9">
        <w:tc>
          <w:tcPr>
            <w:tcW w:w="534" w:type="dxa"/>
          </w:tcPr>
          <w:p w14:paraId="5715423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59AAE6B" w14:textId="583EE44C" w:rsidR="00975A05" w:rsidRDefault="00536BE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Кладово</w:t>
            </w:r>
          </w:p>
        </w:tc>
        <w:tc>
          <w:tcPr>
            <w:tcW w:w="1843" w:type="dxa"/>
          </w:tcPr>
          <w:p w14:paraId="7A2228AB" w14:textId="7089AACF" w:rsidR="00975A05" w:rsidRPr="00536BE7" w:rsidRDefault="00772378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</w:tcPr>
          <w:p w14:paraId="0B7F143F" w14:textId="77777777" w:rsidR="00975A05" w:rsidRDefault="00975A05" w:rsidP="00772378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14:paraId="25386C8F" w14:textId="77777777" w:rsidR="00975A05" w:rsidRPr="00536BE7" w:rsidRDefault="00975A05" w:rsidP="00772378">
            <w:pPr>
              <w:ind w:left="360"/>
              <w:rPr>
                <w:lang w:val="sr-Cyrl-RS"/>
              </w:rPr>
            </w:pPr>
          </w:p>
        </w:tc>
      </w:tr>
      <w:tr w:rsidR="00975A05" w14:paraId="01A7935E" w14:textId="77777777" w:rsidTr="00EE4EF4">
        <w:tc>
          <w:tcPr>
            <w:tcW w:w="534" w:type="dxa"/>
            <w:shd w:val="clear" w:color="auto" w:fill="FFFF00"/>
          </w:tcPr>
          <w:p w14:paraId="01F550C6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3B2878C6" w14:textId="3BFBEA99" w:rsidR="00975A05" w:rsidRDefault="00772378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Крушевац</w:t>
            </w:r>
          </w:p>
        </w:tc>
        <w:tc>
          <w:tcPr>
            <w:tcW w:w="1843" w:type="dxa"/>
            <w:shd w:val="clear" w:color="auto" w:fill="FFFF00"/>
          </w:tcPr>
          <w:p w14:paraId="1AAE15CA" w14:textId="4A63D077" w:rsidR="00975A05" w:rsidRDefault="00772378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2386A70C" w14:textId="724139BF" w:rsidR="00975A05" w:rsidRDefault="00772378" w:rsidP="00772378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7FC347D4" w14:textId="4B515065" w:rsidR="00975A05" w:rsidRPr="00536BE7" w:rsidRDefault="00772378" w:rsidP="00877A57">
            <w:pPr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B840E4C" w14:textId="77777777" w:rsidTr="004035B9">
        <w:tc>
          <w:tcPr>
            <w:tcW w:w="534" w:type="dxa"/>
          </w:tcPr>
          <w:p w14:paraId="14CD40A9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1366020" w14:textId="6D405296" w:rsidR="00975A05" w:rsidRDefault="00772378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Кула</w:t>
            </w:r>
          </w:p>
        </w:tc>
        <w:tc>
          <w:tcPr>
            <w:tcW w:w="1843" w:type="dxa"/>
          </w:tcPr>
          <w:p w14:paraId="3E126A9A" w14:textId="6CD941AB" w:rsidR="00975A05" w:rsidRPr="00723F48" w:rsidRDefault="00723F48" w:rsidP="00772378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  <w:tc>
          <w:tcPr>
            <w:tcW w:w="1843" w:type="dxa"/>
          </w:tcPr>
          <w:p w14:paraId="63907644" w14:textId="77777777" w:rsidR="00975A05" w:rsidRDefault="00975A05" w:rsidP="00772378">
            <w:pPr>
              <w:rPr>
                <w:lang w:val="sr-Cyrl-RS"/>
              </w:rPr>
            </w:pPr>
          </w:p>
        </w:tc>
        <w:tc>
          <w:tcPr>
            <w:tcW w:w="1842" w:type="dxa"/>
          </w:tcPr>
          <w:p w14:paraId="3815E878" w14:textId="65B93587" w:rsidR="00975A05" w:rsidRPr="00723F48" w:rsidRDefault="00723F48" w:rsidP="00877A57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</w:tc>
      </w:tr>
      <w:tr w:rsidR="00975A05" w14:paraId="73EF78E2" w14:textId="77777777" w:rsidTr="004035B9">
        <w:tc>
          <w:tcPr>
            <w:tcW w:w="534" w:type="dxa"/>
            <w:shd w:val="clear" w:color="auto" w:fill="FFFF00"/>
          </w:tcPr>
          <w:p w14:paraId="5425571E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378C0E1D" w14:textId="0965576D" w:rsidR="00975A05" w:rsidRPr="005C361A" w:rsidRDefault="005C361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843" w:type="dxa"/>
            <w:shd w:val="clear" w:color="auto" w:fill="FFFF00"/>
          </w:tcPr>
          <w:p w14:paraId="13063DD0" w14:textId="0FD79E62" w:rsidR="00975A05" w:rsidRPr="00536BE7" w:rsidRDefault="005C361A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717E0EC7" w14:textId="5DE3C867" w:rsidR="00975A05" w:rsidRPr="00536BE7" w:rsidRDefault="005C361A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0C09EDAB" w14:textId="068BF71B" w:rsidR="00975A05" w:rsidRPr="00536BE7" w:rsidRDefault="005C361A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447D9B34" w14:textId="77777777" w:rsidTr="004035B9">
        <w:tc>
          <w:tcPr>
            <w:tcW w:w="534" w:type="dxa"/>
          </w:tcPr>
          <w:p w14:paraId="44FD660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48409C39" w14:textId="69E0131B" w:rsidR="00975A05" w:rsidRDefault="005C361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1843" w:type="dxa"/>
          </w:tcPr>
          <w:p w14:paraId="71B60395" w14:textId="5449E8BF" w:rsidR="00975A05" w:rsidRDefault="005C361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</w:tcPr>
          <w:p w14:paraId="6EB452E7" w14:textId="77777777" w:rsidR="00975A05" w:rsidRPr="00536BE7" w:rsidRDefault="00975A05" w:rsidP="00536BE7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16DD57CA" w14:textId="77777777" w:rsidR="00975A05" w:rsidRPr="00536BE7" w:rsidRDefault="00975A05" w:rsidP="00536BE7">
            <w:pPr>
              <w:ind w:left="360"/>
              <w:jc w:val="both"/>
              <w:rPr>
                <w:lang w:val="sr-Cyrl-RS"/>
              </w:rPr>
            </w:pPr>
          </w:p>
        </w:tc>
      </w:tr>
      <w:tr w:rsidR="00975A05" w14:paraId="2376C7DE" w14:textId="77777777" w:rsidTr="00EE4EF4">
        <w:tc>
          <w:tcPr>
            <w:tcW w:w="534" w:type="dxa"/>
            <w:shd w:val="clear" w:color="auto" w:fill="FFFFFF" w:themeFill="background1"/>
          </w:tcPr>
          <w:p w14:paraId="21B7E3EC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26AF99E5" w14:textId="58C7DD41" w:rsidR="00975A05" w:rsidRDefault="00790A23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Врњачка Бања</w:t>
            </w:r>
          </w:p>
        </w:tc>
        <w:tc>
          <w:tcPr>
            <w:tcW w:w="1843" w:type="dxa"/>
            <w:shd w:val="clear" w:color="auto" w:fill="FFFFFF" w:themeFill="background1"/>
          </w:tcPr>
          <w:p w14:paraId="39AFB2C5" w14:textId="77777777" w:rsidR="00975A05" w:rsidRPr="00536BE7" w:rsidRDefault="00975A05" w:rsidP="00536BE7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469FB79" w14:textId="77777777" w:rsidR="00975A05" w:rsidRPr="00536BE7" w:rsidRDefault="00975A05" w:rsidP="00536BE7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E10483" w14:textId="067FEBEC" w:rsidR="00975A05" w:rsidRPr="00536BE7" w:rsidRDefault="00790A23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7653786E" w14:textId="77777777" w:rsidTr="00EE4EF4">
        <w:tc>
          <w:tcPr>
            <w:tcW w:w="534" w:type="dxa"/>
            <w:shd w:val="clear" w:color="auto" w:fill="FFFF00"/>
          </w:tcPr>
          <w:p w14:paraId="1EDE64E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54D259F8" w14:textId="139DC6B7" w:rsidR="00975A05" w:rsidRDefault="00790A23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Осечина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14:paraId="24D26DB1" w14:textId="26DD0D95" w:rsidR="00975A05" w:rsidRPr="00536BE7" w:rsidRDefault="00790A23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37C6D6AC" w14:textId="5B6611DF" w:rsidR="00975A05" w:rsidRDefault="00790A23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6226673D" w14:textId="37D7585F" w:rsidR="00975A05" w:rsidRPr="00536BE7" w:rsidRDefault="00790A23" w:rsidP="00790A2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1A475046" w14:textId="77777777" w:rsidTr="00EE4EF4">
        <w:tc>
          <w:tcPr>
            <w:tcW w:w="534" w:type="dxa"/>
            <w:shd w:val="clear" w:color="auto" w:fill="FFFF00"/>
          </w:tcPr>
          <w:p w14:paraId="7B401C0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65803359" w14:textId="53539EEE" w:rsidR="00975A05" w:rsidRDefault="00790A23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Пирот</w:t>
            </w:r>
          </w:p>
        </w:tc>
        <w:tc>
          <w:tcPr>
            <w:tcW w:w="1843" w:type="dxa"/>
            <w:shd w:val="clear" w:color="auto" w:fill="FFFF00"/>
          </w:tcPr>
          <w:p w14:paraId="023ED273" w14:textId="4A04E1E8" w:rsidR="00975A05" w:rsidRPr="00536BE7" w:rsidRDefault="00790A23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3F1C3595" w14:textId="385B6C21" w:rsidR="00975A05" w:rsidRPr="00536BE7" w:rsidRDefault="00790A23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38406AA0" w14:textId="26500894" w:rsidR="00975A05" w:rsidRDefault="00790A23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25CD11A1" w14:textId="77777777" w:rsidTr="004035B9">
        <w:tc>
          <w:tcPr>
            <w:tcW w:w="534" w:type="dxa"/>
          </w:tcPr>
          <w:p w14:paraId="3CDF403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5BAFF71E" w14:textId="29C865A1" w:rsidR="00975A05" w:rsidRDefault="00023696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Сокобања</w:t>
            </w:r>
            <w:proofErr w:type="spellEnd"/>
          </w:p>
        </w:tc>
        <w:tc>
          <w:tcPr>
            <w:tcW w:w="1843" w:type="dxa"/>
          </w:tcPr>
          <w:p w14:paraId="08A81205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32C7EE4F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B0E11C9" w14:textId="07EF9095" w:rsidR="00975A05" w:rsidRPr="00536BE7" w:rsidRDefault="00023696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707D107" w14:textId="77777777" w:rsidTr="004035B9">
        <w:tc>
          <w:tcPr>
            <w:tcW w:w="534" w:type="dxa"/>
          </w:tcPr>
          <w:p w14:paraId="472A1D83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5BB0421" w14:textId="7C230C4E" w:rsidR="00975A05" w:rsidRDefault="0002369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1843" w:type="dxa"/>
          </w:tcPr>
          <w:p w14:paraId="629A4226" w14:textId="679C01BF" w:rsidR="00975A05" w:rsidRPr="00877A57" w:rsidRDefault="00023696" w:rsidP="00877A57">
            <w:pPr>
              <w:jc w:val="both"/>
              <w:rPr>
                <w:lang w:val="sr-Cyrl-RS"/>
              </w:rPr>
            </w:pPr>
            <w:r w:rsidRPr="00877A57">
              <w:rPr>
                <w:lang w:val="sr-Cyrl-RS"/>
              </w:rPr>
              <w:t>+</w:t>
            </w:r>
          </w:p>
        </w:tc>
        <w:tc>
          <w:tcPr>
            <w:tcW w:w="1843" w:type="dxa"/>
          </w:tcPr>
          <w:p w14:paraId="52E895AD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FC300F0" w14:textId="66FBEE80" w:rsidR="00975A05" w:rsidRDefault="0002369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120F2215" w14:textId="77777777" w:rsidTr="004035B9">
        <w:tc>
          <w:tcPr>
            <w:tcW w:w="534" w:type="dxa"/>
          </w:tcPr>
          <w:p w14:paraId="41EACB3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782D65E" w14:textId="5E87B9AC" w:rsidR="00975A05" w:rsidRDefault="0002369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Србобран</w:t>
            </w:r>
          </w:p>
        </w:tc>
        <w:tc>
          <w:tcPr>
            <w:tcW w:w="1843" w:type="dxa"/>
          </w:tcPr>
          <w:p w14:paraId="2166C8BD" w14:textId="71250ACE" w:rsidR="00975A05" w:rsidRDefault="00F710B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</w:tcPr>
          <w:p w14:paraId="7F2FC669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66DB9C7C" w14:textId="77777777" w:rsidR="00975A05" w:rsidRPr="0000621A" w:rsidRDefault="00975A05" w:rsidP="009A5061">
            <w:pPr>
              <w:pStyle w:val="ListParagraph"/>
              <w:jc w:val="both"/>
              <w:rPr>
                <w:lang w:val="sr-Cyrl-RS"/>
              </w:rPr>
            </w:pPr>
          </w:p>
        </w:tc>
      </w:tr>
      <w:tr w:rsidR="00975A05" w14:paraId="3C4E438E" w14:textId="77777777" w:rsidTr="00EE4EF4">
        <w:tc>
          <w:tcPr>
            <w:tcW w:w="534" w:type="dxa"/>
            <w:shd w:val="clear" w:color="auto" w:fill="FFFFFF" w:themeFill="background1"/>
          </w:tcPr>
          <w:p w14:paraId="699B3BB8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14:paraId="034EF59D" w14:textId="4207062B" w:rsidR="00975A05" w:rsidRDefault="00F710B7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Свилајнац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07312D81" w14:textId="22846B73" w:rsidR="00975A05" w:rsidRPr="00877A57" w:rsidRDefault="00F710B7" w:rsidP="00877A57">
            <w:pPr>
              <w:jc w:val="both"/>
              <w:rPr>
                <w:lang w:val="sr-Cyrl-RS"/>
              </w:rPr>
            </w:pPr>
            <w:r w:rsidRPr="00877A57"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FF" w:themeFill="background1"/>
          </w:tcPr>
          <w:p w14:paraId="04AB5A74" w14:textId="4D1AEDB9" w:rsidR="00975A05" w:rsidRPr="00877A57" w:rsidRDefault="00F710B7" w:rsidP="00877A57">
            <w:pPr>
              <w:jc w:val="both"/>
              <w:rPr>
                <w:lang w:val="sr-Cyrl-RS"/>
              </w:rPr>
            </w:pPr>
            <w:r w:rsidRPr="00877A57"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FF" w:themeFill="background1"/>
          </w:tcPr>
          <w:p w14:paraId="3CB9BB2B" w14:textId="77777777" w:rsidR="00975A05" w:rsidRPr="009A5061" w:rsidRDefault="00975A05" w:rsidP="009A5061">
            <w:pPr>
              <w:ind w:left="360"/>
              <w:jc w:val="both"/>
              <w:rPr>
                <w:lang w:val="sr-Cyrl-RS"/>
              </w:rPr>
            </w:pPr>
          </w:p>
        </w:tc>
      </w:tr>
      <w:tr w:rsidR="00975A05" w14:paraId="4A4800E1" w14:textId="77777777" w:rsidTr="004035B9">
        <w:tc>
          <w:tcPr>
            <w:tcW w:w="534" w:type="dxa"/>
          </w:tcPr>
          <w:p w14:paraId="218276D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51661FD" w14:textId="2200DB72" w:rsidR="00975A05" w:rsidRDefault="00F710B7" w:rsidP="00390354">
            <w:pPr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Темерин</w:t>
            </w:r>
            <w:proofErr w:type="spellEnd"/>
          </w:p>
        </w:tc>
        <w:tc>
          <w:tcPr>
            <w:tcW w:w="1843" w:type="dxa"/>
          </w:tcPr>
          <w:p w14:paraId="66B9E3C0" w14:textId="77777777" w:rsidR="00975A05" w:rsidRPr="0000621A" w:rsidRDefault="00975A05" w:rsidP="009A5061">
            <w:pPr>
              <w:pStyle w:val="ListParagraph"/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0463297A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6B3ACFEF" w14:textId="15EF5665" w:rsidR="00975A05" w:rsidRDefault="00F710B7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2C2D959" w14:textId="77777777" w:rsidTr="004035B9">
        <w:tc>
          <w:tcPr>
            <w:tcW w:w="534" w:type="dxa"/>
          </w:tcPr>
          <w:p w14:paraId="475697B9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00761D5" w14:textId="75C4A8D4" w:rsidR="00975A05" w:rsidRDefault="00110D8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Велико </w:t>
            </w:r>
            <w:proofErr w:type="spellStart"/>
            <w:r>
              <w:rPr>
                <w:lang w:val="sr-Cyrl-RS"/>
              </w:rPr>
              <w:t>Градиште</w:t>
            </w:r>
            <w:proofErr w:type="spellEnd"/>
          </w:p>
        </w:tc>
        <w:tc>
          <w:tcPr>
            <w:tcW w:w="1843" w:type="dxa"/>
          </w:tcPr>
          <w:p w14:paraId="1641091D" w14:textId="77777777" w:rsidR="00975A05" w:rsidRPr="009A5061" w:rsidRDefault="00975A05" w:rsidP="009A5061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5807641E" w14:textId="77777777" w:rsidR="00975A05" w:rsidRPr="009A5061" w:rsidRDefault="00975A05" w:rsidP="009A5061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E98B0C9" w14:textId="148DC7C0" w:rsidR="00975A05" w:rsidRDefault="00110D8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3772300E" w14:textId="77777777" w:rsidTr="00EE4EF4">
        <w:tc>
          <w:tcPr>
            <w:tcW w:w="534" w:type="dxa"/>
            <w:shd w:val="clear" w:color="auto" w:fill="FFFF00"/>
          </w:tcPr>
          <w:p w14:paraId="78190C5C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73FC2E3D" w14:textId="5B037655" w:rsidR="00975A05" w:rsidRDefault="00110D8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Власотинце</w:t>
            </w:r>
          </w:p>
        </w:tc>
        <w:tc>
          <w:tcPr>
            <w:tcW w:w="1843" w:type="dxa"/>
            <w:shd w:val="clear" w:color="auto" w:fill="FFFF00"/>
          </w:tcPr>
          <w:p w14:paraId="2C86CE13" w14:textId="2EDF7D1C" w:rsidR="00975A05" w:rsidRPr="009A5061" w:rsidRDefault="00110D86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4A9C88BE" w14:textId="4ECF7A08" w:rsidR="00975A05" w:rsidRDefault="00110D8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7236B2B1" w14:textId="6616DA3E" w:rsidR="00975A05" w:rsidRDefault="00110D86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42516DD3" w14:textId="77777777" w:rsidTr="00EE4EF4">
        <w:tc>
          <w:tcPr>
            <w:tcW w:w="534" w:type="dxa"/>
            <w:shd w:val="clear" w:color="auto" w:fill="auto"/>
          </w:tcPr>
          <w:p w14:paraId="32AA5763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4BE743AF" w14:textId="195596F8" w:rsidR="00975A05" w:rsidRDefault="00EE4EF4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Врање</w:t>
            </w:r>
          </w:p>
        </w:tc>
        <w:tc>
          <w:tcPr>
            <w:tcW w:w="1843" w:type="dxa"/>
            <w:shd w:val="clear" w:color="auto" w:fill="auto"/>
          </w:tcPr>
          <w:p w14:paraId="021C7ECC" w14:textId="038D738D" w:rsidR="00975A05" w:rsidRPr="009A5061" w:rsidRDefault="00EE4EF4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14:paraId="1A391301" w14:textId="77777777" w:rsidR="00975A05" w:rsidRPr="009A5061" w:rsidRDefault="00975A05" w:rsidP="009A5061">
            <w:pPr>
              <w:ind w:left="360"/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auto"/>
          </w:tcPr>
          <w:p w14:paraId="1A9ADE5E" w14:textId="64969853" w:rsidR="00975A05" w:rsidRPr="009A5061" w:rsidRDefault="00EE4EF4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44A9CB09" w14:textId="77777777" w:rsidTr="004035B9">
        <w:tc>
          <w:tcPr>
            <w:tcW w:w="534" w:type="dxa"/>
          </w:tcPr>
          <w:p w14:paraId="48EF21E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18F46420" w14:textId="25F9B21A" w:rsidR="00975A05" w:rsidRDefault="00EE4EF4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Врбас</w:t>
            </w:r>
          </w:p>
        </w:tc>
        <w:tc>
          <w:tcPr>
            <w:tcW w:w="1843" w:type="dxa"/>
          </w:tcPr>
          <w:p w14:paraId="72B1E4DB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2DA59F78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45E38673" w14:textId="773250C8" w:rsidR="00975A05" w:rsidRPr="009A5061" w:rsidRDefault="00EE4EF4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75A05" w14:paraId="7173D1F7" w14:textId="77777777" w:rsidTr="00EE4EF4">
        <w:tc>
          <w:tcPr>
            <w:tcW w:w="534" w:type="dxa"/>
            <w:shd w:val="clear" w:color="auto" w:fill="FFFF00"/>
          </w:tcPr>
          <w:p w14:paraId="40DEE944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42A7BD1B" w14:textId="5DA3E362" w:rsidR="00975A05" w:rsidRDefault="00EE4EF4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Шабац</w:t>
            </w:r>
          </w:p>
        </w:tc>
        <w:tc>
          <w:tcPr>
            <w:tcW w:w="1843" w:type="dxa"/>
            <w:shd w:val="clear" w:color="auto" w:fill="FFFF00"/>
          </w:tcPr>
          <w:p w14:paraId="380E81C3" w14:textId="7357053C" w:rsidR="00975A05" w:rsidRDefault="00EE4EF4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3" w:type="dxa"/>
            <w:shd w:val="clear" w:color="auto" w:fill="FFFF00"/>
          </w:tcPr>
          <w:p w14:paraId="1F94DE39" w14:textId="6C70B872" w:rsidR="00975A05" w:rsidRDefault="00EE4EF4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42" w:type="dxa"/>
            <w:shd w:val="clear" w:color="auto" w:fill="FFFF00"/>
          </w:tcPr>
          <w:p w14:paraId="2D1DF604" w14:textId="3B60CBC0" w:rsidR="00975A05" w:rsidRPr="009A5061" w:rsidRDefault="00EE4EF4" w:rsidP="00877A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14:paraId="09EBBA35" w14:textId="77777777" w:rsidR="0040695F" w:rsidRDefault="0040695F" w:rsidP="00F004CC">
      <w:pPr>
        <w:ind w:firstLine="720"/>
        <w:jc w:val="both"/>
        <w:rPr>
          <w:b/>
          <w:lang w:val="sr-Cyrl-RS"/>
        </w:rPr>
      </w:pPr>
    </w:p>
    <w:p w14:paraId="3353421F" w14:textId="77777777" w:rsidR="00A0157C" w:rsidRDefault="00BB2320" w:rsidP="00F004CC">
      <w:pPr>
        <w:ind w:firstLine="720"/>
        <w:jc w:val="both"/>
        <w:rPr>
          <w:b/>
          <w:lang w:val="sr-Cyrl-RS"/>
        </w:rPr>
      </w:pPr>
      <w:r w:rsidRPr="00BB2320">
        <w:rPr>
          <w:b/>
          <w:lang w:val="sr-Cyrl-RS"/>
        </w:rPr>
        <w:t>КРИТЕРИЈУМИ ЗА УЧЕСТВОВАЊЕ У КАМПАЊИ</w:t>
      </w:r>
    </w:p>
    <w:p w14:paraId="1C1C61F3" w14:textId="77777777" w:rsidR="00BB2320" w:rsidRDefault="00BB2320" w:rsidP="00390354">
      <w:pPr>
        <w:jc w:val="both"/>
        <w:rPr>
          <w:b/>
          <w:lang w:val="sr-Cyrl-RS"/>
        </w:rPr>
      </w:pPr>
    </w:p>
    <w:p w14:paraId="07E67415" w14:textId="67C50119" w:rsidR="00BB2320" w:rsidRPr="00792468" w:rsidRDefault="00F01831" w:rsidP="00F004C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 ова година, као и претходна, </w:t>
      </w:r>
      <w:r w:rsidR="00557F1D">
        <w:rPr>
          <w:lang w:val="sr-Cyrl-RS"/>
        </w:rPr>
        <w:t>обележена је</w:t>
      </w:r>
      <w:r w:rsidR="000A5B7A">
        <w:rPr>
          <w:lang w:val="sr-Cyrl-RS"/>
        </w:rPr>
        <w:t xml:space="preserve"> глобалн</w:t>
      </w:r>
      <w:r w:rsidR="00557F1D">
        <w:rPr>
          <w:lang w:val="sr-Cyrl-RS"/>
        </w:rPr>
        <w:t xml:space="preserve">ом </w:t>
      </w:r>
      <w:r w:rsidR="000A5B7A">
        <w:rPr>
          <w:lang w:val="sr-Cyrl-RS"/>
        </w:rPr>
        <w:t>пандемиј</w:t>
      </w:r>
      <w:r w:rsidR="00557F1D">
        <w:rPr>
          <w:lang w:val="sr-Cyrl-RS"/>
        </w:rPr>
        <w:t>ом</w:t>
      </w:r>
      <w:r w:rsidR="000A5B7A">
        <w:rPr>
          <w:lang w:val="sr-Cyrl-RS"/>
        </w:rPr>
        <w:t>, што је у многоме отежало планирање и реализацију активности ЕНМ од стране градова и општина. Отежавајућа околност била је и чињеница да се током септембра месеца епидемиолошка ситуација у градовима и општинама Србије нагло погорша</w:t>
      </w:r>
      <w:r w:rsidR="007873C7">
        <w:rPr>
          <w:lang w:val="sr-Cyrl-RS"/>
        </w:rPr>
        <w:t xml:space="preserve">ла, што је највероватније довело и до пада броја пријављених ЈЛС, али и до смањења обима реализованих активности. </w:t>
      </w:r>
    </w:p>
    <w:p w14:paraId="2EA91A74" w14:textId="229EF505" w:rsidR="001B766D" w:rsidRDefault="007873C7" w:rsidP="00557F1D">
      <w:pPr>
        <w:ind w:firstLine="720"/>
        <w:jc w:val="both"/>
        <w:rPr>
          <w:lang w:val="sr-Cyrl-RS"/>
        </w:rPr>
      </w:pPr>
      <w:r w:rsidRPr="00557F1D">
        <w:rPr>
          <w:lang w:val="sr-Cyrl-RS"/>
        </w:rPr>
        <w:t>Н</w:t>
      </w:r>
      <w:r w:rsidR="008F582F" w:rsidRPr="00557F1D">
        <w:rPr>
          <w:lang w:val="sr-Cyrl-RS"/>
        </w:rPr>
        <w:t>ајвећи број ЈЛС</w:t>
      </w:r>
      <w:r w:rsidR="003524E2" w:rsidRPr="00557F1D">
        <w:rPr>
          <w:lang w:val="sr-Cyrl-RS"/>
        </w:rPr>
        <w:t xml:space="preserve"> у Републици Србији</w:t>
      </w:r>
      <w:r w:rsidR="008F582F" w:rsidRPr="00557F1D">
        <w:rPr>
          <w:lang w:val="sr-Cyrl-RS"/>
        </w:rPr>
        <w:t>, тачније 2</w:t>
      </w:r>
      <w:r w:rsidRPr="00557F1D">
        <w:rPr>
          <w:lang w:val="sr-Cyrl-RS"/>
        </w:rPr>
        <w:t>2</w:t>
      </w:r>
      <w:r w:rsidR="00792468" w:rsidRPr="00557F1D">
        <w:rPr>
          <w:lang w:val="sr-Cyrl-RS"/>
        </w:rPr>
        <w:t>,</w:t>
      </w:r>
      <w:r w:rsidR="008F582F" w:rsidRPr="00557F1D">
        <w:rPr>
          <w:lang w:val="sr-Cyrl-RS"/>
        </w:rPr>
        <w:t xml:space="preserve"> </w:t>
      </w:r>
      <w:r w:rsidRPr="00557F1D">
        <w:rPr>
          <w:lang w:val="sr-Cyrl-RS"/>
        </w:rPr>
        <w:t xml:space="preserve">је </w:t>
      </w:r>
      <w:r w:rsidR="008F582F" w:rsidRPr="00557F1D">
        <w:rPr>
          <w:lang w:val="sr-Cyrl-RS"/>
        </w:rPr>
        <w:t>спровело активност „Дан без аутомобила“. Укупно је 2</w:t>
      </w:r>
      <w:r w:rsidRPr="00557F1D">
        <w:rPr>
          <w:lang w:val="sr-Cyrl-RS"/>
        </w:rPr>
        <w:t xml:space="preserve">1 </w:t>
      </w:r>
      <w:r w:rsidR="008F582F" w:rsidRPr="00557F1D">
        <w:rPr>
          <w:lang w:val="sr-Cyrl-RS"/>
        </w:rPr>
        <w:t>ЈЛС пријавил</w:t>
      </w:r>
      <w:r w:rsidRPr="00557F1D">
        <w:rPr>
          <w:lang w:val="sr-Cyrl-RS"/>
        </w:rPr>
        <w:t>а</w:t>
      </w:r>
      <w:r w:rsidR="008F582F" w:rsidRPr="00557F1D">
        <w:rPr>
          <w:lang w:val="sr-Cyrl-RS"/>
        </w:rPr>
        <w:t xml:space="preserve"> </w:t>
      </w:r>
      <w:r w:rsidRPr="00557F1D">
        <w:rPr>
          <w:lang w:val="sr-Cyrl-RS"/>
        </w:rPr>
        <w:t xml:space="preserve"> </w:t>
      </w:r>
      <w:r w:rsidR="008F582F" w:rsidRPr="00557F1D">
        <w:rPr>
          <w:lang w:val="sr-Cyrl-RS"/>
        </w:rPr>
        <w:t>активности током недеље мобилности, а 1</w:t>
      </w:r>
      <w:r w:rsidRPr="00557F1D">
        <w:rPr>
          <w:lang w:val="sr-Cyrl-RS"/>
        </w:rPr>
        <w:t>2</w:t>
      </w:r>
      <w:r w:rsidR="008F582F" w:rsidRPr="00557F1D">
        <w:rPr>
          <w:lang w:val="sr-Cyrl-RS"/>
        </w:rPr>
        <w:t xml:space="preserve"> ЈЛС је имплементирало минимум једну трајну меру у последњих 12 месеци</w:t>
      </w:r>
      <w:r w:rsidR="008F582F">
        <w:rPr>
          <w:lang w:val="sr-Cyrl-RS"/>
        </w:rPr>
        <w:t>.</w:t>
      </w:r>
      <w:r>
        <w:rPr>
          <w:lang w:val="sr-Cyrl-RS"/>
        </w:rPr>
        <w:t xml:space="preserve"> </w:t>
      </w:r>
      <w:r w:rsidR="004D447C">
        <w:rPr>
          <w:lang w:val="sr-Cyrl-RS"/>
        </w:rPr>
        <w:t xml:space="preserve">Најпопуларније </w:t>
      </w:r>
      <w:r w:rsidR="00014AA2">
        <w:rPr>
          <w:lang w:val="sr-Cyrl-RS"/>
        </w:rPr>
        <w:t>трајне мере које</w:t>
      </w:r>
      <w:r w:rsidR="00DC3D34">
        <w:rPr>
          <w:lang w:val="sr-Cyrl-RS"/>
        </w:rPr>
        <w:t xml:space="preserve"> су имплементиране у ЈЛС су мере везане за: увођење нове или побољшање бициклистичке инфраструктуре, трајне мере за пешаке, </w:t>
      </w:r>
      <w:r w:rsidR="00FD144C">
        <w:rPr>
          <w:lang w:val="sr-Cyrl-RS"/>
        </w:rPr>
        <w:t xml:space="preserve">проширење пешачких зона и тротоара, увођење зона умиреног саобраћаја у близини школа, </w:t>
      </w:r>
      <w:r w:rsidR="00DC3D34">
        <w:rPr>
          <w:lang w:val="sr-Cyrl-RS"/>
        </w:rPr>
        <w:t>као и мере везане за приступачност</w:t>
      </w:r>
      <w:r w:rsidR="00AD02F8">
        <w:rPr>
          <w:lang w:val="sr-Cyrl-RS"/>
        </w:rPr>
        <w:t>, али и увођење пуњача за електрична возила</w:t>
      </w:r>
      <w:r w:rsidR="00DC3D34">
        <w:rPr>
          <w:lang w:val="sr-Cyrl-RS"/>
        </w:rPr>
        <w:t>.</w:t>
      </w:r>
    </w:p>
    <w:p w14:paraId="2868ADE8" w14:textId="77777777" w:rsidR="001B766D" w:rsidRDefault="001B766D" w:rsidP="003524E2">
      <w:pPr>
        <w:ind w:firstLine="720"/>
        <w:jc w:val="both"/>
        <w:rPr>
          <w:lang w:val="sr-Cyrl-RS"/>
        </w:rPr>
      </w:pPr>
    </w:p>
    <w:p w14:paraId="52E467FC" w14:textId="77777777" w:rsidR="00677E54" w:rsidRDefault="001B766D" w:rsidP="00677E54">
      <w:pPr>
        <w:ind w:firstLine="720"/>
        <w:jc w:val="both"/>
        <w:rPr>
          <w:b/>
          <w:lang w:val="sr-Cyrl-RS"/>
        </w:rPr>
      </w:pPr>
      <w:r w:rsidRPr="001B766D">
        <w:rPr>
          <w:b/>
          <w:lang w:val="sr-Cyrl-RS"/>
        </w:rPr>
        <w:t>ПРИМЕРИ СПРОВЕДЕНИХ АКТИВНОСТИ</w:t>
      </w:r>
      <w:r w:rsidR="004D447C" w:rsidRPr="001B766D">
        <w:rPr>
          <w:b/>
          <w:lang w:val="sr-Cyrl-RS"/>
        </w:rPr>
        <w:t xml:space="preserve"> </w:t>
      </w:r>
    </w:p>
    <w:p w14:paraId="1F760C0F" w14:textId="77777777" w:rsidR="004C1304" w:rsidRDefault="004C1304" w:rsidP="009F5656">
      <w:pPr>
        <w:jc w:val="both"/>
        <w:rPr>
          <w:lang w:val="sr-Cyrl-RS"/>
        </w:rPr>
      </w:pPr>
    </w:p>
    <w:p w14:paraId="32752530" w14:textId="6A30E2F8" w:rsidR="00755E29" w:rsidRDefault="005436AF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 xml:space="preserve">Имајући у виду да је тема овогодишње кампање била везана за здравље, одређени број активности у градовима и општинама био је усмерен на </w:t>
      </w:r>
      <w:r w:rsidR="00755E29">
        <w:rPr>
          <w:color w:val="050505"/>
          <w:lang w:val="sr-Cyrl-RS"/>
        </w:rPr>
        <w:t xml:space="preserve">промоцију здравих стилова живота. Ове активности су организоване са </w:t>
      </w:r>
      <w:r w:rsidR="00557F1D">
        <w:rPr>
          <w:color w:val="050505"/>
          <w:lang w:val="sr-Cyrl-RS"/>
        </w:rPr>
        <w:t>д</w:t>
      </w:r>
      <w:r w:rsidR="00755E29">
        <w:rPr>
          <w:color w:val="050505"/>
          <w:lang w:val="sr-Cyrl-RS"/>
        </w:rPr>
        <w:t>омовима здравља, Црвеним крстом</w:t>
      </w:r>
      <w:r w:rsidR="00557F1D">
        <w:rPr>
          <w:color w:val="050505"/>
          <w:lang w:val="sr-Cyrl-RS"/>
        </w:rPr>
        <w:t xml:space="preserve"> и</w:t>
      </w:r>
      <w:r w:rsidR="00755E29">
        <w:rPr>
          <w:color w:val="050505"/>
          <w:lang w:val="sr-Cyrl-RS"/>
        </w:rPr>
        <w:t xml:space="preserve"> локалним Саветима за здравље</w:t>
      </w:r>
      <w:r w:rsidR="00557F1D">
        <w:rPr>
          <w:color w:val="050505"/>
          <w:lang w:val="sr-Cyrl-RS"/>
        </w:rPr>
        <w:t xml:space="preserve"> и другим удружењима</w:t>
      </w:r>
      <w:r w:rsidR="00755E29">
        <w:rPr>
          <w:color w:val="050505"/>
          <w:lang w:val="sr-Cyrl-RS"/>
        </w:rPr>
        <w:t xml:space="preserve"> (Сомбор, </w:t>
      </w:r>
      <w:proofErr w:type="spellStart"/>
      <w:r w:rsidR="00755E29">
        <w:rPr>
          <w:color w:val="050505"/>
          <w:lang w:val="sr-Cyrl-RS"/>
        </w:rPr>
        <w:t>Осечина</w:t>
      </w:r>
      <w:proofErr w:type="spellEnd"/>
      <w:r w:rsidR="00755E29">
        <w:rPr>
          <w:color w:val="050505"/>
          <w:lang w:val="sr-Cyrl-RS"/>
        </w:rPr>
        <w:t xml:space="preserve">, Алексинац, </w:t>
      </w:r>
      <w:proofErr w:type="spellStart"/>
      <w:r w:rsidR="00755E29">
        <w:rPr>
          <w:color w:val="050505"/>
          <w:lang w:val="sr-Cyrl-RS"/>
        </w:rPr>
        <w:t>Чајетина</w:t>
      </w:r>
      <w:proofErr w:type="spellEnd"/>
      <w:r w:rsidR="00557F1D">
        <w:rPr>
          <w:color w:val="050505"/>
          <w:lang w:val="sr-Cyrl-RS"/>
        </w:rPr>
        <w:t>, Београд</w:t>
      </w:r>
      <w:r w:rsidR="00755E29">
        <w:rPr>
          <w:color w:val="050505"/>
          <w:lang w:val="sr-Cyrl-RS"/>
        </w:rPr>
        <w:t>)</w:t>
      </w:r>
      <w:r w:rsidR="00653ED6">
        <w:rPr>
          <w:color w:val="050505"/>
          <w:lang w:val="sr-Cyrl-RS"/>
        </w:rPr>
        <w:t>.</w:t>
      </w:r>
    </w:p>
    <w:p w14:paraId="32A61D51" w14:textId="243619E2" w:rsidR="00653ED6" w:rsidRDefault="00653ED6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>Други део активности је био везан за промоцију бављења спорто</w:t>
      </w:r>
      <w:r w:rsidR="00AD45E5">
        <w:rPr>
          <w:color w:val="050505"/>
          <w:lang w:val="sr-Cyrl-RS"/>
        </w:rPr>
        <w:t>м, у чему су подршку давали спортски савези и удружења (</w:t>
      </w:r>
      <w:proofErr w:type="spellStart"/>
      <w:r w:rsidR="00AD45E5">
        <w:rPr>
          <w:color w:val="050505"/>
          <w:lang w:val="sr-Cyrl-RS"/>
        </w:rPr>
        <w:t>Чајети</w:t>
      </w:r>
      <w:r w:rsidR="00156110">
        <w:rPr>
          <w:color w:val="050505"/>
          <w:lang w:val="sr-Cyrl-RS"/>
        </w:rPr>
        <w:t>на</w:t>
      </w:r>
      <w:proofErr w:type="spellEnd"/>
      <w:r w:rsidR="00156110">
        <w:rPr>
          <w:color w:val="050505"/>
          <w:lang w:val="sr-Cyrl-RS"/>
        </w:rPr>
        <w:t xml:space="preserve">, Сомбор, Крушевац, Бела Паланка, </w:t>
      </w:r>
      <w:proofErr w:type="spellStart"/>
      <w:r w:rsidR="00156110">
        <w:rPr>
          <w:color w:val="050505"/>
          <w:lang w:val="sr-Cyrl-RS"/>
        </w:rPr>
        <w:t>Осечина</w:t>
      </w:r>
      <w:proofErr w:type="spellEnd"/>
      <w:r w:rsidR="00156110">
        <w:rPr>
          <w:color w:val="050505"/>
          <w:lang w:val="sr-Cyrl-RS"/>
        </w:rPr>
        <w:t xml:space="preserve"> и др.)</w:t>
      </w:r>
    </w:p>
    <w:p w14:paraId="481744E2" w14:textId="11EECA2A" w:rsidR="006F4388" w:rsidRDefault="006F4388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 xml:space="preserve">Велики број активности организованих на локалу је имао за циљ промоцију бициклизма, па су организоване вожње бицикала у градским и </w:t>
      </w:r>
      <w:proofErr w:type="spellStart"/>
      <w:r>
        <w:rPr>
          <w:color w:val="050505"/>
          <w:lang w:val="sr-Cyrl-RS"/>
        </w:rPr>
        <w:t>ванградским</w:t>
      </w:r>
      <w:proofErr w:type="spellEnd"/>
      <w:r>
        <w:rPr>
          <w:color w:val="050505"/>
          <w:lang w:val="sr-Cyrl-RS"/>
        </w:rPr>
        <w:t xml:space="preserve"> условима (Крушевац, </w:t>
      </w:r>
      <w:r w:rsidR="00E74162">
        <w:rPr>
          <w:color w:val="050505"/>
          <w:lang w:val="sr-Cyrl-RS"/>
        </w:rPr>
        <w:t xml:space="preserve">Бујановац, Ужице, Ниш, Нови Сад), обуке ученика за </w:t>
      </w:r>
      <w:r w:rsidR="009A4D61">
        <w:rPr>
          <w:color w:val="050505"/>
          <w:lang w:val="sr-Cyrl-RS"/>
        </w:rPr>
        <w:t xml:space="preserve">безбедну вожњу бицикала (Пирот, Ниш), подела </w:t>
      </w:r>
      <w:r w:rsidR="00A121E1">
        <w:rPr>
          <w:color w:val="050505"/>
          <w:lang w:val="sr-Cyrl-RS"/>
        </w:rPr>
        <w:t xml:space="preserve">безбедносних елемената за бициклисте (Сомбор). Нови Сад је организовао већ традиционалну активност  „Бициклисти питају град“, </w:t>
      </w:r>
      <w:r w:rsidR="00964602">
        <w:rPr>
          <w:color w:val="050505"/>
          <w:lang w:val="sr-Cyrl-RS"/>
        </w:rPr>
        <w:t>која подразумева дис</w:t>
      </w:r>
      <w:r w:rsidR="00156110">
        <w:rPr>
          <w:color w:val="050505"/>
          <w:lang w:val="sr-Cyrl-RS"/>
        </w:rPr>
        <w:t>к</w:t>
      </w:r>
      <w:r w:rsidR="00964602">
        <w:rPr>
          <w:color w:val="050505"/>
          <w:lang w:val="sr-Cyrl-RS"/>
        </w:rPr>
        <w:t>усију између представника удружења грађана корисника бицикла и градске управе о проблемима са којима се сусрећу бициклисти у саобраћају у граду.</w:t>
      </w:r>
    </w:p>
    <w:p w14:paraId="099DA75B" w14:textId="6660DBA2" w:rsidR="009917CA" w:rsidRDefault="009917CA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>И ове године, безбедности рањивих учесника у саобраћају посвећена је посебна пажња, па су у многим ЈЛС локални савети за безбедност саобраћаја, у</w:t>
      </w:r>
      <w:r w:rsidR="00BE783C">
        <w:rPr>
          <w:color w:val="050505"/>
          <w:lang w:val="sr-Cyrl-RS"/>
        </w:rPr>
        <w:t xml:space="preserve">з подршку Агенција за безбедност </w:t>
      </w:r>
      <w:r w:rsidR="00BE783C">
        <w:rPr>
          <w:color w:val="050505"/>
          <w:lang w:val="sr-Cyrl-RS"/>
        </w:rPr>
        <w:lastRenderedPageBreak/>
        <w:t>саобраћаја, организовали трибине, демонстрације саобраћајних незгода и последица, поделу сигурносних ауто-седишта за децу и сл.</w:t>
      </w:r>
      <w:r w:rsidR="00AD61C9">
        <w:rPr>
          <w:color w:val="050505"/>
          <w:lang w:val="sr-Cyrl-RS"/>
        </w:rPr>
        <w:t xml:space="preserve"> Подршку активностима везаним за безбедност саобраћаја давале су и локалне полицијске станице – саобраћајна полиција.</w:t>
      </w:r>
    </w:p>
    <w:p w14:paraId="17BA35AE" w14:textId="79F174CC" w:rsidR="00B10A1F" w:rsidRPr="004540DC" w:rsidRDefault="004540DC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>Велики број градова и општина придружио се и акцији коју је током претходних година иницирала Стална конференција градова и општина, а у којој се позивају градоначелници и председници општина да 22. септембр</w:t>
      </w:r>
      <w:r w:rsidR="002A294F">
        <w:rPr>
          <w:color w:val="050505"/>
          <w:lang w:val="sr-Cyrl-RS"/>
        </w:rPr>
        <w:t>а</w:t>
      </w:r>
      <w:r>
        <w:rPr>
          <w:color w:val="050505"/>
          <w:lang w:val="sr-Cyrl-RS"/>
        </w:rPr>
        <w:t>, личним примером обележе „Дан без аутомобила“ и тог дана дођу на посао неким од алтернативних видова кретања (пешице, бициклом, јавним превозом).</w:t>
      </w:r>
      <w:r w:rsidR="00E469CE">
        <w:rPr>
          <w:color w:val="050505"/>
          <w:lang w:val="sr-Cyrl-RS"/>
        </w:rPr>
        <w:t xml:space="preserve"> Дан без аутомобила, уз затварање делова улица за аутомобилски саобраћај, пружио је прилику за организовање активности </w:t>
      </w:r>
      <w:r w:rsidR="00FA4E08">
        <w:rPr>
          <w:color w:val="050505"/>
          <w:lang w:val="sr-Cyrl-RS"/>
        </w:rPr>
        <w:t xml:space="preserve">на улицама као што су: </w:t>
      </w:r>
      <w:proofErr w:type="spellStart"/>
      <w:r w:rsidR="00FA4E08">
        <w:rPr>
          <w:color w:val="050505"/>
          <w:lang w:val="sr-Cyrl-RS"/>
        </w:rPr>
        <w:t>ролеријаде</w:t>
      </w:r>
      <w:proofErr w:type="spellEnd"/>
      <w:r w:rsidR="00FA4E08">
        <w:rPr>
          <w:color w:val="050505"/>
          <w:lang w:val="sr-Cyrl-RS"/>
        </w:rPr>
        <w:t xml:space="preserve">, </w:t>
      </w:r>
      <w:proofErr w:type="spellStart"/>
      <w:r w:rsidR="00FA4E08">
        <w:rPr>
          <w:color w:val="050505"/>
          <w:lang w:val="sr-Cyrl-RS"/>
        </w:rPr>
        <w:t>бициклијаде</w:t>
      </w:r>
      <w:proofErr w:type="spellEnd"/>
      <w:r w:rsidR="00FA4E08">
        <w:rPr>
          <w:color w:val="050505"/>
          <w:lang w:val="sr-Cyrl-RS"/>
        </w:rPr>
        <w:t xml:space="preserve">, али и за разговоре са грађанима о алтернативним видовима кретања и потреби за унапређењем </w:t>
      </w:r>
      <w:r w:rsidR="00F60B98">
        <w:rPr>
          <w:color w:val="050505"/>
          <w:lang w:val="sr-Cyrl-RS"/>
        </w:rPr>
        <w:t xml:space="preserve">мобилности. Општина Алексинац организовала је анкетирање грађана о навикама у кретању, а истовремено је промовисано </w:t>
      </w:r>
      <w:r w:rsidR="006E6756">
        <w:rPr>
          <w:color w:val="050505"/>
          <w:lang w:val="sr-Cyrl-RS"/>
        </w:rPr>
        <w:t>усвајање Плана одрживе урбане мобилности.</w:t>
      </w:r>
    </w:p>
    <w:p w14:paraId="5DAA1AF1" w14:textId="11602DCB" w:rsidR="004540DC" w:rsidRDefault="004540DC" w:rsidP="00B10A1F">
      <w:pPr>
        <w:ind w:firstLine="720"/>
        <w:jc w:val="both"/>
        <w:rPr>
          <w:lang w:val="sr-Cyrl-RS"/>
        </w:rPr>
      </w:pPr>
    </w:p>
    <w:p w14:paraId="4901D3F6" w14:textId="77777777" w:rsidR="004540DC" w:rsidRPr="004540DC" w:rsidRDefault="00BF2DD2" w:rsidP="007C2698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ПРОМОЦИЈА</w:t>
      </w:r>
      <w:r w:rsidR="004540DC" w:rsidRPr="004540DC">
        <w:rPr>
          <w:b/>
          <w:lang w:val="sr-Cyrl-RS"/>
        </w:rPr>
        <w:t xml:space="preserve"> ТРАЈНИХ МЕРА</w:t>
      </w:r>
    </w:p>
    <w:p w14:paraId="662D6626" w14:textId="77777777" w:rsidR="004540DC" w:rsidRPr="000D3C91" w:rsidRDefault="004540DC" w:rsidP="007C2698">
      <w:pPr>
        <w:ind w:firstLine="720"/>
        <w:jc w:val="both"/>
        <w:rPr>
          <w:color w:val="050505"/>
          <w:lang w:val="sr-Cyrl-RS"/>
        </w:rPr>
      </w:pPr>
    </w:p>
    <w:p w14:paraId="2C2F360C" w14:textId="623E96CF" w:rsidR="007D73A9" w:rsidRDefault="006E6756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Град Београд промовисао је трајне мере у области одрживе урбане мобилности </w:t>
      </w:r>
      <w:proofErr w:type="spellStart"/>
      <w:r>
        <w:rPr>
          <w:lang w:val="sr-Cyrl-RS"/>
        </w:rPr>
        <w:t>попуте</w:t>
      </w:r>
      <w:proofErr w:type="spellEnd"/>
      <w:r>
        <w:rPr>
          <w:lang w:val="sr-Cyrl-RS"/>
        </w:rPr>
        <w:t xml:space="preserve"> бициклистичких стаза у булевару </w:t>
      </w:r>
      <w:proofErr w:type="spellStart"/>
      <w:r>
        <w:rPr>
          <w:lang w:val="sr-Cyrl-RS"/>
        </w:rPr>
        <w:t>Вудро</w:t>
      </w:r>
      <w:proofErr w:type="spellEnd"/>
      <w:r>
        <w:rPr>
          <w:lang w:val="sr-Cyrl-RS"/>
        </w:rPr>
        <w:t xml:space="preserve"> Вилсона, пешачке стазе у </w:t>
      </w:r>
      <w:proofErr w:type="spellStart"/>
      <w:r>
        <w:rPr>
          <w:lang w:val="sr-Cyrl-RS"/>
        </w:rPr>
        <w:t>Бајфордовој</w:t>
      </w:r>
      <w:proofErr w:type="spellEnd"/>
      <w:r>
        <w:rPr>
          <w:lang w:val="sr-Cyrl-RS"/>
        </w:rPr>
        <w:t xml:space="preserve"> шуми, Савски трг – пешачку зону и сл. </w:t>
      </w:r>
      <w:r w:rsidR="00C93100">
        <w:rPr>
          <w:lang w:val="sr-Cyrl-RS"/>
        </w:rPr>
        <w:t xml:space="preserve">Град Пирот промовисао је нове бициклистичке стазе, а Шабац </w:t>
      </w:r>
      <w:r w:rsidR="00402CB5">
        <w:rPr>
          <w:lang w:val="sr-Cyrl-RS"/>
        </w:rPr>
        <w:t xml:space="preserve">зоне умиреног саобраћаја у близини сеоских школа. </w:t>
      </w:r>
      <w:r w:rsidR="006606AE">
        <w:rPr>
          <w:lang w:val="sr-Cyrl-RS"/>
        </w:rPr>
        <w:t>Општина Власотинце је промовисала нову пешачку стазу здравља која је део Европске пешачке руте.</w:t>
      </w:r>
      <w:r w:rsidR="00156110">
        <w:rPr>
          <w:lang w:val="sr-Cyrl-RS"/>
        </w:rPr>
        <w:t xml:space="preserve"> Град Крушевац је искористио ЕНМ за промоцију новог уређења главног трга, који је сада прилагођен пешацима и бициклистичком саобраћају.</w:t>
      </w:r>
    </w:p>
    <w:p w14:paraId="162C649C" w14:textId="77777777" w:rsidR="008A5EF8" w:rsidRDefault="008A5EF8" w:rsidP="00AE0675">
      <w:pPr>
        <w:ind w:firstLine="720"/>
        <w:jc w:val="both"/>
        <w:rPr>
          <w:lang w:val="sr-Cyrl-RS"/>
        </w:rPr>
      </w:pPr>
    </w:p>
    <w:p w14:paraId="59E4FE9F" w14:textId="691B9561" w:rsidR="008A5EF8" w:rsidRPr="008A5EF8" w:rsidRDefault="008A5EF8" w:rsidP="00AE0675">
      <w:pPr>
        <w:ind w:firstLine="720"/>
        <w:jc w:val="both"/>
        <w:rPr>
          <w:b/>
          <w:bCs/>
          <w:lang w:val="sr-Cyrl-RS"/>
        </w:rPr>
      </w:pPr>
      <w:r w:rsidRPr="008A5EF8">
        <w:rPr>
          <w:b/>
          <w:bCs/>
          <w:lang w:val="sr-Cyrl-RS"/>
        </w:rPr>
        <w:t>ИЗВЕШТАВАЊЕ МЕДИЈА О ЕНМ</w:t>
      </w:r>
    </w:p>
    <w:p w14:paraId="1386CC41" w14:textId="77777777" w:rsidR="00A64F67" w:rsidRDefault="00A64F67" w:rsidP="00A64F67">
      <w:pPr>
        <w:ind w:firstLine="720"/>
        <w:rPr>
          <w:lang w:val="sr-Cyrl-RS"/>
        </w:rPr>
      </w:pPr>
    </w:p>
    <w:p w14:paraId="7BC0CEC9" w14:textId="2EC9EC9B" w:rsidR="00A64F67" w:rsidRPr="00A64F67" w:rsidRDefault="00A64F67" w:rsidP="00A64F67">
      <w:pPr>
        <w:ind w:firstLine="720"/>
        <w:rPr>
          <w:lang w:val="sr-Cyrl-RS"/>
        </w:rPr>
      </w:pPr>
      <w:r w:rsidRPr="00A64F67">
        <w:rPr>
          <w:lang w:val="sr-Cyrl-RS"/>
        </w:rPr>
        <w:t xml:space="preserve">Овогодишња Европска недеља мобилности имала је значајан одјек како у електронским, тако и у штампаним медијима. Путем 12 објава у штампи и више од 60 на интернет порталима, медији су препознали значај овогодишње теме која промовише значај јавног здравља и здравог начина живота. ЕНМ су пропратили водећи дневни листови попут Блица и Курира, периодична издања (Недељник, </w:t>
      </w:r>
      <w:proofErr w:type="spellStart"/>
      <w:r w:rsidRPr="00A64F67">
        <w:rPr>
          <w:lang w:val="sr-Cyrl-RS"/>
        </w:rPr>
        <w:t>БизЛaјф</w:t>
      </w:r>
      <w:proofErr w:type="spellEnd"/>
      <w:r w:rsidRPr="00A64F67">
        <w:rPr>
          <w:lang w:val="sr-Cyrl-RS"/>
        </w:rPr>
        <w:t xml:space="preserve">, Базар) и бројне локалне новине и портали. </w:t>
      </w:r>
    </w:p>
    <w:p w14:paraId="11EAC848" w14:textId="77777777" w:rsidR="00156110" w:rsidRDefault="00156110" w:rsidP="00AE0675">
      <w:pPr>
        <w:ind w:firstLine="720"/>
        <w:jc w:val="both"/>
        <w:rPr>
          <w:lang w:val="sr-Cyrl-RS"/>
        </w:rPr>
      </w:pPr>
    </w:p>
    <w:p w14:paraId="2A392C00" w14:textId="77777777" w:rsidR="007D73A9" w:rsidRDefault="007D73A9" w:rsidP="00AE0675">
      <w:pPr>
        <w:ind w:firstLine="720"/>
        <w:jc w:val="both"/>
        <w:rPr>
          <w:b/>
          <w:lang w:val="sr-Cyrl-RS"/>
        </w:rPr>
      </w:pPr>
      <w:r w:rsidRPr="007D73A9">
        <w:rPr>
          <w:b/>
          <w:lang w:val="sr-Cyrl-RS"/>
        </w:rPr>
        <w:t>ЗАКЉУЧЦИ</w:t>
      </w:r>
      <w:r w:rsidR="007D4C95">
        <w:rPr>
          <w:b/>
          <w:lang w:val="sr-Cyrl-RS"/>
        </w:rPr>
        <w:t xml:space="preserve"> </w:t>
      </w:r>
    </w:p>
    <w:p w14:paraId="6E59B3F8" w14:textId="77777777" w:rsidR="00B11A4D" w:rsidRDefault="00B11A4D" w:rsidP="00AE0675">
      <w:pPr>
        <w:ind w:firstLine="720"/>
        <w:jc w:val="both"/>
        <w:rPr>
          <w:b/>
          <w:lang w:val="sr-Cyrl-RS"/>
        </w:rPr>
      </w:pPr>
    </w:p>
    <w:p w14:paraId="025A253D" w14:textId="1C958870" w:rsidR="0043628E" w:rsidRDefault="00FD144C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>У</w:t>
      </w:r>
      <w:r w:rsidR="00B11A4D" w:rsidRPr="00B11A4D">
        <w:rPr>
          <w:lang w:val="sr-Cyrl-RS"/>
        </w:rPr>
        <w:t>чес</w:t>
      </w:r>
      <w:r w:rsidR="00ED3663">
        <w:rPr>
          <w:lang w:val="sr-Cyrl-RS"/>
        </w:rPr>
        <w:t>твов</w:t>
      </w:r>
      <w:r w:rsidR="00B11A4D" w:rsidRPr="00B11A4D">
        <w:rPr>
          <w:lang w:val="sr-Cyrl-RS"/>
        </w:rPr>
        <w:t xml:space="preserve">ање </w:t>
      </w:r>
      <w:r>
        <w:rPr>
          <w:lang w:val="sr-Cyrl-RS"/>
        </w:rPr>
        <w:t>29</w:t>
      </w:r>
      <w:r w:rsidR="00B11A4D" w:rsidRPr="00B11A4D">
        <w:rPr>
          <w:lang w:val="sr-Cyrl-RS"/>
        </w:rPr>
        <w:t xml:space="preserve"> ЈЛС у овогодишњој кампањи</w:t>
      </w:r>
      <w:r w:rsidR="00B11A4D">
        <w:rPr>
          <w:lang w:val="sr-Cyrl-RS"/>
        </w:rPr>
        <w:t xml:space="preserve"> може се сматрати успехом,</w:t>
      </w:r>
      <w:r>
        <w:rPr>
          <w:lang w:val="sr-Cyrl-RS"/>
        </w:rPr>
        <w:t xml:space="preserve"> и поред пада у односу на претходну годину од 7% (31 учесник у 2020, години)</w:t>
      </w:r>
      <w:r w:rsidR="00B11A4D">
        <w:rPr>
          <w:lang w:val="sr-Cyrl-RS"/>
        </w:rPr>
        <w:t xml:space="preserve"> имајући у виду </w:t>
      </w:r>
      <w:r>
        <w:rPr>
          <w:lang w:val="sr-Cyrl-RS"/>
        </w:rPr>
        <w:t>неповољну епидемиолошку ситуацију у држави.</w:t>
      </w:r>
    </w:p>
    <w:p w14:paraId="2E7B84E5" w14:textId="7E09E363" w:rsidR="00C1179D" w:rsidRDefault="00C1179D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>Поред тога</w:t>
      </w:r>
      <w:r w:rsidR="0089640B">
        <w:rPr>
          <w:lang w:val="sr-Cyrl-RS"/>
        </w:rPr>
        <w:t>,</w:t>
      </w:r>
      <w:r>
        <w:rPr>
          <w:lang w:val="sr-Cyrl-RS"/>
        </w:rPr>
        <w:t xml:space="preserve"> </w:t>
      </w:r>
      <w:r w:rsidR="0089640B">
        <w:rPr>
          <w:lang w:val="sr-Cyrl-RS"/>
        </w:rPr>
        <w:t>додела</w:t>
      </w:r>
      <w:r>
        <w:rPr>
          <w:lang w:val="sr-Cyrl-RS"/>
        </w:rPr>
        <w:t xml:space="preserve"> подстицајних средстава за </w:t>
      </w:r>
      <w:r w:rsidRPr="00C1179D">
        <w:rPr>
          <w:lang w:val="sr-Cyrl-RS"/>
        </w:rPr>
        <w:t>унапређење одрживе урбане мобилности</w:t>
      </w:r>
      <w:r w:rsidR="0089640B">
        <w:rPr>
          <w:lang w:val="sr-Cyrl-RS"/>
        </w:rPr>
        <w:t xml:space="preserve"> граду Крушевцу, која је уприличено током инфо радионице, 9. јула</w:t>
      </w:r>
      <w:r w:rsidR="00B5614A">
        <w:rPr>
          <w:lang w:val="sr-Cyrl-RS"/>
        </w:rPr>
        <w:t>,</w:t>
      </w:r>
      <w:r>
        <w:rPr>
          <w:lang w:val="sr-Cyrl-RS"/>
        </w:rPr>
        <w:t xml:space="preserve"> </w:t>
      </w:r>
      <w:r w:rsidR="0089640B">
        <w:rPr>
          <w:lang w:val="sr-Cyrl-RS"/>
        </w:rPr>
        <w:t>представља додатну мотивацију за</w:t>
      </w:r>
      <w:r>
        <w:rPr>
          <w:lang w:val="sr-Cyrl-RS"/>
        </w:rPr>
        <w:t xml:space="preserve"> пријаву градова и општина</w:t>
      </w:r>
      <w:r w:rsidR="00B5614A">
        <w:rPr>
          <w:lang w:val="sr-Cyrl-RS"/>
        </w:rPr>
        <w:t>, посебно оних</w:t>
      </w:r>
      <w:r>
        <w:rPr>
          <w:lang w:val="sr-Cyrl-RS"/>
        </w:rPr>
        <w:t xml:space="preserve"> које до сада нису имале учешће у кампањи.</w:t>
      </w:r>
    </w:p>
    <w:p w14:paraId="53A60C39" w14:textId="31E13368" w:rsidR="00C47B73" w:rsidRDefault="00A563FF" w:rsidP="00C47B7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свих извештаја (видео клипова, новинских чланака, фотографија) које су ЈЛС доставиле, општи утисак је да и поред </w:t>
      </w:r>
      <w:r w:rsidR="0089640B">
        <w:rPr>
          <w:lang w:val="sr-Cyrl-RS"/>
        </w:rPr>
        <w:t>неповољних</w:t>
      </w:r>
      <w:r w:rsidR="00777449">
        <w:rPr>
          <w:lang w:val="sr-Cyrl-RS"/>
        </w:rPr>
        <w:t xml:space="preserve"> околности које су пратиле организац</w:t>
      </w:r>
      <w:r w:rsidR="00754A92">
        <w:rPr>
          <w:lang w:val="sr-Cyrl-RS"/>
        </w:rPr>
        <w:t xml:space="preserve">ију </w:t>
      </w:r>
      <w:proofErr w:type="spellStart"/>
      <w:r w:rsidR="00754A92">
        <w:rPr>
          <w:lang w:val="sr-Cyrl-RS"/>
        </w:rPr>
        <w:t>Еврпопске</w:t>
      </w:r>
      <w:proofErr w:type="spellEnd"/>
      <w:r w:rsidR="00754A92">
        <w:rPr>
          <w:lang w:val="sr-Cyrl-RS"/>
        </w:rPr>
        <w:t xml:space="preserve"> недеље мобилности, постој</w:t>
      </w:r>
      <w:r w:rsidR="008B2488">
        <w:rPr>
          <w:lang w:val="sr-Cyrl-RS"/>
        </w:rPr>
        <w:t>ао је</w:t>
      </w:r>
      <w:r w:rsidR="00754A92">
        <w:rPr>
          <w:lang w:val="sr-Cyrl-RS"/>
        </w:rPr>
        <w:t xml:space="preserve"> и даље велики ентузијазам представника локалних самоуправа да обележавањем активности допринесу подизању свести св</w:t>
      </w:r>
      <w:r w:rsidR="008B2488">
        <w:rPr>
          <w:lang w:val="sr-Cyrl-RS"/>
        </w:rPr>
        <w:t>ојих суграђана о значају одрживе урбане мобилности.</w:t>
      </w:r>
      <w:r w:rsidR="00C47B73">
        <w:rPr>
          <w:lang w:val="sr-Cyrl-RS"/>
        </w:rPr>
        <w:t xml:space="preserve"> </w:t>
      </w:r>
      <w:r w:rsidR="0089640B">
        <w:rPr>
          <w:lang w:val="sr-Cyrl-RS"/>
        </w:rPr>
        <w:t xml:space="preserve">Приметно је такође да су челни људи градова и општина слали поруке суграђанима преко локалних медија о потреби да се </w:t>
      </w:r>
      <w:r w:rsidR="00B62234">
        <w:rPr>
          <w:lang w:val="sr-Cyrl-RS"/>
        </w:rPr>
        <w:t xml:space="preserve">промене навике </w:t>
      </w:r>
      <w:r w:rsidR="0089640B">
        <w:rPr>
          <w:lang w:val="sr-Cyrl-RS"/>
        </w:rPr>
        <w:t>у саобраћају</w:t>
      </w:r>
      <w:r w:rsidR="00B62234">
        <w:rPr>
          <w:lang w:val="sr-Cyrl-RS"/>
        </w:rPr>
        <w:t xml:space="preserve"> (Нови Сад, Београд, Кула, </w:t>
      </w:r>
      <w:proofErr w:type="spellStart"/>
      <w:r w:rsidR="00B62234">
        <w:rPr>
          <w:lang w:val="sr-Cyrl-RS"/>
        </w:rPr>
        <w:t>Осечина</w:t>
      </w:r>
      <w:proofErr w:type="spellEnd"/>
      <w:r w:rsidR="00B62234">
        <w:rPr>
          <w:lang w:val="sr-Cyrl-RS"/>
        </w:rPr>
        <w:t xml:space="preserve">, </w:t>
      </w:r>
      <w:r w:rsidR="00A37578">
        <w:rPr>
          <w:lang w:val="sr-Cyrl-RS"/>
        </w:rPr>
        <w:t>Шабац, Крушевац, Врање и др)</w:t>
      </w:r>
      <w:r w:rsidR="00B62234">
        <w:rPr>
          <w:lang w:val="sr-Cyrl-RS"/>
        </w:rPr>
        <w:t>.</w:t>
      </w:r>
    </w:p>
    <w:p w14:paraId="5819FF99" w14:textId="28CF895F" w:rsidR="008A41CC" w:rsidRDefault="008A41CC" w:rsidP="00C47B7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Ове године </w:t>
      </w:r>
      <w:r w:rsidR="0089640B">
        <w:rPr>
          <w:lang w:val="sr-Cyrl-RS"/>
        </w:rPr>
        <w:t>је</w:t>
      </w:r>
      <w:r>
        <w:rPr>
          <w:lang w:val="sr-Cyrl-RS"/>
        </w:rPr>
        <w:t xml:space="preserve"> регистрован</w:t>
      </w:r>
      <w:r w:rsidR="0089640B">
        <w:rPr>
          <w:lang w:val="sr-Cyrl-RS"/>
        </w:rPr>
        <w:t>а</w:t>
      </w:r>
      <w:r>
        <w:rPr>
          <w:lang w:val="sr-Cyrl-RS"/>
        </w:rPr>
        <w:t xml:space="preserve"> само </w:t>
      </w:r>
      <w:r w:rsidR="004B37F9">
        <w:rPr>
          <w:lang w:val="sr-Cyrl-RS"/>
        </w:rPr>
        <w:t>једна</w:t>
      </w:r>
      <w:r>
        <w:rPr>
          <w:lang w:val="sr-Cyrl-RS"/>
        </w:rPr>
        <w:t xml:space="preserve"> активност</w:t>
      </w:r>
      <w:r w:rsidR="0089640B">
        <w:rPr>
          <w:lang w:val="sr-Cyrl-RS"/>
        </w:rPr>
        <w:t xml:space="preserve"> у области мобилности на сајту ЕНМ (</w:t>
      </w:r>
      <w:r w:rsidR="0089640B">
        <w:rPr>
          <w:lang w:val="en-GB"/>
        </w:rPr>
        <w:t>mobility action)</w:t>
      </w:r>
      <w:r w:rsidR="004B37F9">
        <w:rPr>
          <w:lang w:val="sr-Cyrl-RS"/>
        </w:rPr>
        <w:t xml:space="preserve"> </w:t>
      </w:r>
      <w:r>
        <w:rPr>
          <w:lang w:val="sr-Cyrl-RS"/>
        </w:rPr>
        <w:t xml:space="preserve"> и то активност </w:t>
      </w:r>
      <w:r w:rsidR="004B37F9">
        <w:rPr>
          <w:lang w:val="sr-Cyrl-RS"/>
        </w:rPr>
        <w:t xml:space="preserve">СКГО </w:t>
      </w:r>
      <w:r w:rsidR="0089640B">
        <w:rPr>
          <w:lang w:val="sr-Cyrl-RS"/>
        </w:rPr>
        <w:t>–</w:t>
      </w:r>
      <w:r w:rsidR="004B37F9">
        <w:rPr>
          <w:lang w:val="sr-Cyrl-RS"/>
        </w:rPr>
        <w:t xml:space="preserve"> </w:t>
      </w:r>
      <w:r w:rsidR="0089640B">
        <w:rPr>
          <w:lang w:val="en-GB"/>
        </w:rPr>
        <w:t xml:space="preserve">Walk to work, </w:t>
      </w:r>
      <w:r w:rsidR="0089640B">
        <w:rPr>
          <w:lang w:val="sr-Cyrl-RS"/>
        </w:rPr>
        <w:t>која је подразумевала организовани долазак пешице на посао запослених у стручној служби СКГО, 22. септембра. Акцију је подржао и београдски Дом омладине</w:t>
      </w:r>
      <w:r w:rsidR="00EC01E9">
        <w:rPr>
          <w:lang w:val="sr-Cyrl-RS"/>
        </w:rPr>
        <w:t xml:space="preserve">. </w:t>
      </w:r>
    </w:p>
    <w:p w14:paraId="2DC5A584" w14:textId="77777777" w:rsidR="000856FF" w:rsidRDefault="000856FF" w:rsidP="00160DA4">
      <w:pPr>
        <w:jc w:val="both"/>
        <w:rPr>
          <w:b/>
          <w:lang w:val="sr-Cyrl-RS"/>
        </w:rPr>
      </w:pPr>
    </w:p>
    <w:p w14:paraId="126B78F2" w14:textId="77777777" w:rsidR="007D4C95" w:rsidRDefault="007D4C95" w:rsidP="00AE067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ПРЕПОРУКЕ</w:t>
      </w:r>
    </w:p>
    <w:p w14:paraId="400B9409" w14:textId="77777777" w:rsidR="008C2F6C" w:rsidRDefault="008C2F6C" w:rsidP="00AE0675">
      <w:pPr>
        <w:ind w:firstLine="720"/>
        <w:jc w:val="both"/>
        <w:rPr>
          <w:b/>
          <w:lang w:val="sr-Cyrl-RS"/>
        </w:rPr>
      </w:pPr>
    </w:p>
    <w:p w14:paraId="173AF8FC" w14:textId="1EFF5AE5" w:rsidR="000F6516" w:rsidRDefault="00EF0A7F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Ове године приметан је мањи број партнера манифестације са националног нивоа, па је препорука да се за наредну годину осигура пар</w:t>
      </w:r>
      <w:r w:rsidR="00C85F2E">
        <w:rPr>
          <w:lang w:val="sr-Cyrl-RS"/>
        </w:rPr>
        <w:t>т</w:t>
      </w:r>
      <w:r>
        <w:rPr>
          <w:lang w:val="sr-Cyrl-RS"/>
        </w:rPr>
        <w:t>нерство</w:t>
      </w:r>
      <w:r w:rsidR="00C85F2E">
        <w:rPr>
          <w:lang w:val="sr-Cyrl-RS"/>
        </w:rPr>
        <w:t xml:space="preserve"> већег броја министарстава и </w:t>
      </w:r>
      <w:r>
        <w:rPr>
          <w:lang w:val="sr-Cyrl-RS"/>
        </w:rPr>
        <w:t xml:space="preserve"> </w:t>
      </w:r>
      <w:r w:rsidR="00C85F2E">
        <w:rPr>
          <w:lang w:val="sr-Cyrl-RS"/>
        </w:rPr>
        <w:t>институција са националног нивоа. Препорука би била да се благовремено крене у потписивање меморандума о сарадњи са</w:t>
      </w:r>
      <w:r w:rsidR="00493CB5">
        <w:rPr>
          <w:lang w:val="sr-Cyrl-RS"/>
        </w:rPr>
        <w:t xml:space="preserve"> институцијама и актерима који би могли да допринесу промоцији кампање.</w:t>
      </w:r>
      <w:r w:rsidR="00903E4A">
        <w:rPr>
          <w:lang w:val="sr-Cyrl-RS"/>
        </w:rPr>
        <w:t xml:space="preserve"> </w:t>
      </w:r>
      <w:r w:rsidR="00670FFB">
        <w:rPr>
          <w:lang w:val="sr-Cyrl-RS"/>
        </w:rPr>
        <w:t>У том смислу добар је п</w:t>
      </w:r>
      <w:r w:rsidR="00903E4A">
        <w:rPr>
          <w:lang w:val="sr-Cyrl-RS"/>
        </w:rPr>
        <w:t>ример Транспортне заједнице</w:t>
      </w:r>
      <w:r w:rsidR="00670FFB">
        <w:rPr>
          <w:lang w:val="sr-Cyrl-RS"/>
        </w:rPr>
        <w:t xml:space="preserve"> која се укључила у кампању организацијом </w:t>
      </w:r>
      <w:proofErr w:type="spellStart"/>
      <w:r w:rsidR="00670FFB">
        <w:rPr>
          <w:lang w:val="sr-Cyrl-RS"/>
        </w:rPr>
        <w:t>вебинара</w:t>
      </w:r>
      <w:proofErr w:type="spellEnd"/>
      <w:r w:rsidR="00670FFB">
        <w:rPr>
          <w:lang w:val="sr-Cyrl-RS"/>
        </w:rPr>
        <w:t>.</w:t>
      </w:r>
    </w:p>
    <w:p w14:paraId="4C6E9B9C" w14:textId="30E4B160" w:rsidR="00E06606" w:rsidRDefault="00E06606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>Иако су градовима и општинама понуђена 3 критеријума за регистровање, препорука је да се убудуће осигура в</w:t>
      </w:r>
      <w:r w:rsidR="00822B62">
        <w:rPr>
          <w:lang w:val="sr-Cyrl-RS"/>
        </w:rPr>
        <w:t>ећа видљивост трајних мера, које доприносе одрживом развоју мобилности у урбаним срединама.</w:t>
      </w:r>
    </w:p>
    <w:p w14:paraId="50757E06" w14:textId="7AADB589" w:rsidR="00557F1D" w:rsidRDefault="00557F1D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Било би </w:t>
      </w:r>
      <w:r w:rsidR="00E97AB3">
        <w:rPr>
          <w:lang w:val="sr-Cyrl-RS"/>
        </w:rPr>
        <w:t>пожељно да координатори осмисле начин комуникације са привредним сектором и невладиним организацијама, које треба охрабрити да своје активности такође пријављују на сајту ЕНМ током целе године.</w:t>
      </w:r>
    </w:p>
    <w:p w14:paraId="4A549520" w14:textId="751A41ED" w:rsidR="00B22E1A" w:rsidRDefault="0084105E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Такође, </w:t>
      </w:r>
      <w:r w:rsidR="00452459">
        <w:rPr>
          <w:lang w:val="sr-Cyrl-RS"/>
        </w:rPr>
        <w:t xml:space="preserve">препорука је да национални </w:t>
      </w:r>
      <w:proofErr w:type="spellStart"/>
      <w:r w:rsidR="00452459">
        <w:rPr>
          <w:lang w:val="sr-Cyrl-RS"/>
        </w:rPr>
        <w:t>координаотри</w:t>
      </w:r>
      <w:proofErr w:type="spellEnd"/>
      <w:r w:rsidR="00452459">
        <w:rPr>
          <w:lang w:val="sr-Cyrl-RS"/>
        </w:rPr>
        <w:t xml:space="preserve"> максимално подстичу дељење информација о одржаним активно</w:t>
      </w:r>
      <w:r w:rsidR="0023244B">
        <w:rPr>
          <w:lang w:val="sr-Cyrl-RS"/>
        </w:rPr>
        <w:t>стима преко друштвених мр</w:t>
      </w:r>
      <w:r w:rsidR="00594096">
        <w:rPr>
          <w:lang w:val="sr-Cyrl-RS"/>
        </w:rPr>
        <w:t>ежа, имају</w:t>
      </w:r>
      <w:r w:rsidR="00BC52E3">
        <w:rPr>
          <w:lang w:val="sr-Cyrl-RS"/>
        </w:rPr>
        <w:t>ћи у виду масовну употребу друштвених мрежа у циљ</w:t>
      </w:r>
      <w:r w:rsidR="00343E04">
        <w:rPr>
          <w:lang w:val="sr-Cyrl-RS"/>
        </w:rPr>
        <w:t>у промовисања, дељења мишљења, ставова и уопште по</w:t>
      </w:r>
      <w:r w:rsidR="00F55E34">
        <w:rPr>
          <w:lang w:val="sr-Cyrl-RS"/>
        </w:rPr>
        <w:t>дизања свести о значају одређених тема</w:t>
      </w:r>
      <w:r w:rsidR="00343E04">
        <w:rPr>
          <w:lang w:val="sr-Cyrl-RS"/>
        </w:rPr>
        <w:t>.</w:t>
      </w:r>
    </w:p>
    <w:p w14:paraId="0B60165D" w14:textId="135322EF" w:rsidR="00E97AB3" w:rsidRDefault="00E97AB3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медијском смислу, препорука је да се успоставе нова партнерства са </w:t>
      </w:r>
      <w:r w:rsidR="00F424A7">
        <w:rPr>
          <w:lang w:val="sr-Cyrl-RS"/>
        </w:rPr>
        <w:t>медијским кућама које су специјализоване за област саобраћаја и заштите животне средине, како би се поруке о ЕНМ и одрживој мобилности преносиле на правилан начин.</w:t>
      </w:r>
    </w:p>
    <w:p w14:paraId="29E9C438" w14:textId="77777777" w:rsidR="00A912A3" w:rsidRDefault="00A912A3" w:rsidP="000F6516">
      <w:pPr>
        <w:ind w:firstLine="720"/>
        <w:jc w:val="both"/>
        <w:rPr>
          <w:lang w:val="sr-Cyrl-RS"/>
        </w:rPr>
      </w:pPr>
    </w:p>
    <w:p w14:paraId="081958C9" w14:textId="77777777" w:rsidR="00BF43CA" w:rsidRPr="00445903" w:rsidRDefault="00BF43CA" w:rsidP="00445903">
      <w:pPr>
        <w:jc w:val="both"/>
        <w:rPr>
          <w:lang w:val="sr-Cyrl-RS"/>
        </w:rPr>
      </w:pPr>
    </w:p>
    <w:p w14:paraId="4F6FD296" w14:textId="783A0838" w:rsidR="006723A2" w:rsidRPr="006009B0" w:rsidRDefault="003C1DAC" w:rsidP="0020047A">
      <w:pPr>
        <w:ind w:firstLine="720"/>
        <w:jc w:val="both"/>
        <w:rPr>
          <w:color w:val="050505"/>
          <w:lang w:val="sr-Cyrl-RS"/>
        </w:rPr>
      </w:pPr>
      <w:r w:rsidRPr="00BF6D1F">
        <w:rPr>
          <w:lang w:val="sr-Cyrl-RS"/>
        </w:rPr>
        <w:t xml:space="preserve">У </w:t>
      </w:r>
      <w:r w:rsidR="004C6550">
        <w:rPr>
          <w:lang w:val="sr-Cyrl-RS"/>
        </w:rPr>
        <w:t xml:space="preserve">Београду, </w:t>
      </w:r>
      <w:r w:rsidR="00670FFB">
        <w:rPr>
          <w:lang w:val="sr-Cyrl-RS"/>
        </w:rPr>
        <w:t>07.10.</w:t>
      </w:r>
      <w:r w:rsidR="006009B0">
        <w:rPr>
          <w:lang w:val="sr-Latn-RS"/>
        </w:rPr>
        <w:t xml:space="preserve">2021. </w:t>
      </w:r>
      <w:r w:rsidR="006009B0">
        <w:rPr>
          <w:lang w:val="sr-Cyrl-RS"/>
        </w:rPr>
        <w:t>године</w:t>
      </w:r>
    </w:p>
    <w:p w14:paraId="0FEEADD8" w14:textId="77777777" w:rsidR="006723A2" w:rsidRPr="00BF6D1F" w:rsidRDefault="006723A2" w:rsidP="00BF6D1F">
      <w:pPr>
        <w:ind w:firstLine="720"/>
        <w:jc w:val="both"/>
        <w:rPr>
          <w:noProof/>
          <w:lang w:val="sr-Cyrl-RS"/>
        </w:rPr>
      </w:pPr>
    </w:p>
    <w:p w14:paraId="528FF9C8" w14:textId="77777777" w:rsidR="006723A2" w:rsidRPr="00BF6D1F" w:rsidRDefault="006723A2" w:rsidP="00BF6D1F">
      <w:pPr>
        <w:ind w:firstLine="720"/>
        <w:jc w:val="both"/>
        <w:rPr>
          <w:noProof/>
          <w:lang w:val="sr-Cyrl-RS"/>
        </w:rPr>
      </w:pPr>
    </w:p>
    <w:p w14:paraId="786E3DFA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84C953C" w14:textId="77777777" w:rsidR="006723A2" w:rsidRDefault="006723A2" w:rsidP="00337314">
      <w:pPr>
        <w:rPr>
          <w:noProof/>
          <w:lang w:val="sr-Cyrl-RS"/>
        </w:rPr>
      </w:pPr>
    </w:p>
    <w:p w14:paraId="6D05EA8C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703EF34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CFC589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7DE4868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58C8B2F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BC455E6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62051D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0F1682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834492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E61EA1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F31C8C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3F130CC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6E9D129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2309DD93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C861569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EF04226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72267FF2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A076671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F1DCE3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1B3B028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579B125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8D9E47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BFDC85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21FC3E9A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4FA50DE" w14:textId="77777777" w:rsidR="006723A2" w:rsidRDefault="006723A2" w:rsidP="004556B9">
      <w:pPr>
        <w:ind w:firstLine="720"/>
        <w:rPr>
          <w:lang w:val="sr-Cyrl-RS"/>
        </w:rPr>
      </w:pPr>
    </w:p>
    <w:p w14:paraId="71FD33F4" w14:textId="77777777" w:rsidR="006723A2" w:rsidRDefault="006723A2" w:rsidP="004556B9">
      <w:pPr>
        <w:ind w:firstLine="720"/>
        <w:rPr>
          <w:lang w:val="sr-Cyrl-RS"/>
        </w:rPr>
      </w:pPr>
    </w:p>
    <w:p w14:paraId="19BF19A5" w14:textId="77777777" w:rsidR="006723A2" w:rsidRDefault="006723A2" w:rsidP="004556B9">
      <w:pPr>
        <w:ind w:firstLine="720"/>
        <w:rPr>
          <w:lang w:val="sr-Cyrl-RS"/>
        </w:rPr>
      </w:pPr>
    </w:p>
    <w:p w14:paraId="5347881C" w14:textId="77777777" w:rsidR="006723A2" w:rsidRDefault="006723A2" w:rsidP="004556B9">
      <w:pPr>
        <w:ind w:firstLine="720"/>
        <w:rPr>
          <w:lang w:val="sr-Cyrl-RS"/>
        </w:rPr>
      </w:pPr>
    </w:p>
    <w:p w14:paraId="7A3D8AB6" w14:textId="77777777" w:rsidR="006723A2" w:rsidRPr="00F54B64" w:rsidRDefault="006723A2" w:rsidP="004556B9">
      <w:pPr>
        <w:ind w:firstLine="720"/>
        <w:rPr>
          <w:lang w:val="sr-Cyrl-RS"/>
        </w:rPr>
      </w:pPr>
    </w:p>
    <w:sectPr w:rsidR="006723A2" w:rsidRPr="00F54B64" w:rsidSect="0006664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9153" w14:textId="77777777" w:rsidR="004E5044" w:rsidRDefault="004E5044" w:rsidP="00610F99">
      <w:r>
        <w:separator/>
      </w:r>
    </w:p>
  </w:endnote>
  <w:endnote w:type="continuationSeparator" w:id="0">
    <w:p w14:paraId="4920C8BD" w14:textId="77777777" w:rsidR="004E5044" w:rsidRDefault="004E5044" w:rsidP="0061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2423D" w14:textId="77777777" w:rsidR="004E5044" w:rsidRDefault="004E5044" w:rsidP="00610F99">
      <w:r>
        <w:separator/>
      </w:r>
    </w:p>
  </w:footnote>
  <w:footnote w:type="continuationSeparator" w:id="0">
    <w:p w14:paraId="4ABC42F3" w14:textId="77777777" w:rsidR="004E5044" w:rsidRDefault="004E5044" w:rsidP="00610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5B6"/>
    <w:multiLevelType w:val="hybridMultilevel"/>
    <w:tmpl w:val="07DCE388"/>
    <w:lvl w:ilvl="0" w:tplc="9216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21998"/>
    <w:multiLevelType w:val="multilevel"/>
    <w:tmpl w:val="3F6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23037"/>
    <w:multiLevelType w:val="hybridMultilevel"/>
    <w:tmpl w:val="C0E25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F67EF"/>
    <w:multiLevelType w:val="multilevel"/>
    <w:tmpl w:val="FA8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97845"/>
    <w:multiLevelType w:val="multilevel"/>
    <w:tmpl w:val="8C6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01B47"/>
    <w:multiLevelType w:val="multilevel"/>
    <w:tmpl w:val="41A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A5B0A"/>
    <w:multiLevelType w:val="multilevel"/>
    <w:tmpl w:val="8D2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644"/>
    <w:rsid w:val="00001987"/>
    <w:rsid w:val="0000247B"/>
    <w:rsid w:val="0000621A"/>
    <w:rsid w:val="00014AA2"/>
    <w:rsid w:val="0002284F"/>
    <w:rsid w:val="00023696"/>
    <w:rsid w:val="00027F38"/>
    <w:rsid w:val="00057E6A"/>
    <w:rsid w:val="000639E0"/>
    <w:rsid w:val="00066644"/>
    <w:rsid w:val="00074A91"/>
    <w:rsid w:val="00080F78"/>
    <w:rsid w:val="000856FF"/>
    <w:rsid w:val="00086EC0"/>
    <w:rsid w:val="000A0DD7"/>
    <w:rsid w:val="000A5B7A"/>
    <w:rsid w:val="000C29BC"/>
    <w:rsid w:val="000C71A6"/>
    <w:rsid w:val="000D3C91"/>
    <w:rsid w:val="000D5491"/>
    <w:rsid w:val="000D54D5"/>
    <w:rsid w:val="000E5AE1"/>
    <w:rsid w:val="000F1072"/>
    <w:rsid w:val="000F5369"/>
    <w:rsid w:val="000F6516"/>
    <w:rsid w:val="00110D86"/>
    <w:rsid w:val="001145F3"/>
    <w:rsid w:val="00115685"/>
    <w:rsid w:val="00125D73"/>
    <w:rsid w:val="0013458F"/>
    <w:rsid w:val="00134A1B"/>
    <w:rsid w:val="00150032"/>
    <w:rsid w:val="00156110"/>
    <w:rsid w:val="00160DA4"/>
    <w:rsid w:val="001673D3"/>
    <w:rsid w:val="00176947"/>
    <w:rsid w:val="00177B70"/>
    <w:rsid w:val="00184127"/>
    <w:rsid w:val="00190EF4"/>
    <w:rsid w:val="001929FA"/>
    <w:rsid w:val="001971E0"/>
    <w:rsid w:val="001A32C8"/>
    <w:rsid w:val="001A708B"/>
    <w:rsid w:val="001B766D"/>
    <w:rsid w:val="001C7FAA"/>
    <w:rsid w:val="001D7257"/>
    <w:rsid w:val="001E3AF3"/>
    <w:rsid w:val="001E7243"/>
    <w:rsid w:val="001F1D31"/>
    <w:rsid w:val="001F2CA6"/>
    <w:rsid w:val="001F4533"/>
    <w:rsid w:val="001F7CB1"/>
    <w:rsid w:val="0020047A"/>
    <w:rsid w:val="00206EB5"/>
    <w:rsid w:val="00210315"/>
    <w:rsid w:val="002206B8"/>
    <w:rsid w:val="00221CB2"/>
    <w:rsid w:val="0023244B"/>
    <w:rsid w:val="00240130"/>
    <w:rsid w:val="00241A65"/>
    <w:rsid w:val="00247596"/>
    <w:rsid w:val="002516CE"/>
    <w:rsid w:val="002620B1"/>
    <w:rsid w:val="00270CCD"/>
    <w:rsid w:val="00272DC0"/>
    <w:rsid w:val="00274CF3"/>
    <w:rsid w:val="00274D6F"/>
    <w:rsid w:val="00282335"/>
    <w:rsid w:val="00284687"/>
    <w:rsid w:val="002A07A7"/>
    <w:rsid w:val="002A294F"/>
    <w:rsid w:val="002C3426"/>
    <w:rsid w:val="002D2881"/>
    <w:rsid w:val="002D7DB3"/>
    <w:rsid w:val="002E705A"/>
    <w:rsid w:val="002F5FDA"/>
    <w:rsid w:val="002F69F6"/>
    <w:rsid w:val="00337314"/>
    <w:rsid w:val="00342747"/>
    <w:rsid w:val="00343E04"/>
    <w:rsid w:val="003524E2"/>
    <w:rsid w:val="00375517"/>
    <w:rsid w:val="00383FF0"/>
    <w:rsid w:val="0038546C"/>
    <w:rsid w:val="00390354"/>
    <w:rsid w:val="0039432E"/>
    <w:rsid w:val="003C1DAC"/>
    <w:rsid w:val="003C6905"/>
    <w:rsid w:val="00401F39"/>
    <w:rsid w:val="00402CB5"/>
    <w:rsid w:val="004035B9"/>
    <w:rsid w:val="00405CE9"/>
    <w:rsid w:val="0040695F"/>
    <w:rsid w:val="00415E94"/>
    <w:rsid w:val="00416DB2"/>
    <w:rsid w:val="0043628E"/>
    <w:rsid w:val="00445903"/>
    <w:rsid w:val="004464B6"/>
    <w:rsid w:val="00446863"/>
    <w:rsid w:val="00452459"/>
    <w:rsid w:val="004540DC"/>
    <w:rsid w:val="0045447C"/>
    <w:rsid w:val="004556B9"/>
    <w:rsid w:val="00456B3C"/>
    <w:rsid w:val="00464A2C"/>
    <w:rsid w:val="00472D29"/>
    <w:rsid w:val="004808AC"/>
    <w:rsid w:val="00493CB5"/>
    <w:rsid w:val="004A0B5F"/>
    <w:rsid w:val="004A4090"/>
    <w:rsid w:val="004A48A7"/>
    <w:rsid w:val="004B2A78"/>
    <w:rsid w:val="004B37F9"/>
    <w:rsid w:val="004B417B"/>
    <w:rsid w:val="004B6744"/>
    <w:rsid w:val="004B6DF2"/>
    <w:rsid w:val="004C0A86"/>
    <w:rsid w:val="004C1304"/>
    <w:rsid w:val="004C4B78"/>
    <w:rsid w:val="004C6550"/>
    <w:rsid w:val="004C79FB"/>
    <w:rsid w:val="004D447C"/>
    <w:rsid w:val="004E3482"/>
    <w:rsid w:val="004E5044"/>
    <w:rsid w:val="005001CF"/>
    <w:rsid w:val="005001D9"/>
    <w:rsid w:val="005052F8"/>
    <w:rsid w:val="00506F59"/>
    <w:rsid w:val="00524F1E"/>
    <w:rsid w:val="00525194"/>
    <w:rsid w:val="00530D10"/>
    <w:rsid w:val="0053183B"/>
    <w:rsid w:val="00536BE7"/>
    <w:rsid w:val="005436AF"/>
    <w:rsid w:val="005464C4"/>
    <w:rsid w:val="005509CA"/>
    <w:rsid w:val="00557F1D"/>
    <w:rsid w:val="00571C46"/>
    <w:rsid w:val="00585D7A"/>
    <w:rsid w:val="005939EB"/>
    <w:rsid w:val="00594096"/>
    <w:rsid w:val="005A2B03"/>
    <w:rsid w:val="005A3DAC"/>
    <w:rsid w:val="005B4522"/>
    <w:rsid w:val="005C07DB"/>
    <w:rsid w:val="005C361A"/>
    <w:rsid w:val="005D3684"/>
    <w:rsid w:val="005D4CF1"/>
    <w:rsid w:val="005D68AD"/>
    <w:rsid w:val="005F2FEE"/>
    <w:rsid w:val="005F52B7"/>
    <w:rsid w:val="005F75F1"/>
    <w:rsid w:val="006009B0"/>
    <w:rsid w:val="00610F99"/>
    <w:rsid w:val="006276B8"/>
    <w:rsid w:val="00635360"/>
    <w:rsid w:val="0064318A"/>
    <w:rsid w:val="00650D00"/>
    <w:rsid w:val="00653ED6"/>
    <w:rsid w:val="006606AE"/>
    <w:rsid w:val="00670FFB"/>
    <w:rsid w:val="006723A2"/>
    <w:rsid w:val="00677E54"/>
    <w:rsid w:val="00685CCF"/>
    <w:rsid w:val="00686D35"/>
    <w:rsid w:val="00692B1B"/>
    <w:rsid w:val="00692BF1"/>
    <w:rsid w:val="0069655C"/>
    <w:rsid w:val="00696697"/>
    <w:rsid w:val="006A39A0"/>
    <w:rsid w:val="006C221E"/>
    <w:rsid w:val="006C2DE8"/>
    <w:rsid w:val="006C7338"/>
    <w:rsid w:val="006E6756"/>
    <w:rsid w:val="006F0809"/>
    <w:rsid w:val="006F4388"/>
    <w:rsid w:val="006F4B61"/>
    <w:rsid w:val="00723F48"/>
    <w:rsid w:val="007333D5"/>
    <w:rsid w:val="00741E81"/>
    <w:rsid w:val="00745599"/>
    <w:rsid w:val="00754A92"/>
    <w:rsid w:val="00755E29"/>
    <w:rsid w:val="00763C9C"/>
    <w:rsid w:val="00771415"/>
    <w:rsid w:val="00772378"/>
    <w:rsid w:val="00774B48"/>
    <w:rsid w:val="00777449"/>
    <w:rsid w:val="00777B0C"/>
    <w:rsid w:val="007873C7"/>
    <w:rsid w:val="00790A23"/>
    <w:rsid w:val="00792468"/>
    <w:rsid w:val="007C0C9F"/>
    <w:rsid w:val="007C16DA"/>
    <w:rsid w:val="007C2698"/>
    <w:rsid w:val="007C39EF"/>
    <w:rsid w:val="007D24AD"/>
    <w:rsid w:val="007D4C95"/>
    <w:rsid w:val="007D5A0B"/>
    <w:rsid w:val="007D73A9"/>
    <w:rsid w:val="007E14C8"/>
    <w:rsid w:val="007E7803"/>
    <w:rsid w:val="0080645B"/>
    <w:rsid w:val="008074E9"/>
    <w:rsid w:val="00816A9A"/>
    <w:rsid w:val="00822B62"/>
    <w:rsid w:val="00825B6C"/>
    <w:rsid w:val="0084105E"/>
    <w:rsid w:val="00856672"/>
    <w:rsid w:val="00872A8F"/>
    <w:rsid w:val="00877A57"/>
    <w:rsid w:val="0089640B"/>
    <w:rsid w:val="008A41CC"/>
    <w:rsid w:val="008A5EF8"/>
    <w:rsid w:val="008A78AA"/>
    <w:rsid w:val="008B2488"/>
    <w:rsid w:val="008C2B9E"/>
    <w:rsid w:val="008C2F6C"/>
    <w:rsid w:val="008C4D07"/>
    <w:rsid w:val="008C76F4"/>
    <w:rsid w:val="008D0FB0"/>
    <w:rsid w:val="008D344A"/>
    <w:rsid w:val="008F1D42"/>
    <w:rsid w:val="008F582F"/>
    <w:rsid w:val="00903E4A"/>
    <w:rsid w:val="0090579F"/>
    <w:rsid w:val="00916984"/>
    <w:rsid w:val="009228D4"/>
    <w:rsid w:val="00924E5E"/>
    <w:rsid w:val="00932533"/>
    <w:rsid w:val="00934D6F"/>
    <w:rsid w:val="0094383C"/>
    <w:rsid w:val="00945B18"/>
    <w:rsid w:val="00964602"/>
    <w:rsid w:val="00975A05"/>
    <w:rsid w:val="009766A5"/>
    <w:rsid w:val="0098351F"/>
    <w:rsid w:val="00991150"/>
    <w:rsid w:val="009917CA"/>
    <w:rsid w:val="009935FB"/>
    <w:rsid w:val="00994B75"/>
    <w:rsid w:val="009A4D61"/>
    <w:rsid w:val="009A5061"/>
    <w:rsid w:val="009A7653"/>
    <w:rsid w:val="009B20E0"/>
    <w:rsid w:val="009B35F9"/>
    <w:rsid w:val="009B4251"/>
    <w:rsid w:val="009B7C27"/>
    <w:rsid w:val="009B7FB7"/>
    <w:rsid w:val="009E4CCE"/>
    <w:rsid w:val="009F30CE"/>
    <w:rsid w:val="009F5656"/>
    <w:rsid w:val="00A0157C"/>
    <w:rsid w:val="00A038FD"/>
    <w:rsid w:val="00A121E1"/>
    <w:rsid w:val="00A37578"/>
    <w:rsid w:val="00A4107B"/>
    <w:rsid w:val="00A42C5C"/>
    <w:rsid w:val="00A4700C"/>
    <w:rsid w:val="00A563FF"/>
    <w:rsid w:val="00A60BAE"/>
    <w:rsid w:val="00A641A7"/>
    <w:rsid w:val="00A64F67"/>
    <w:rsid w:val="00A67BCA"/>
    <w:rsid w:val="00A72A1E"/>
    <w:rsid w:val="00A739AE"/>
    <w:rsid w:val="00A912A3"/>
    <w:rsid w:val="00AA0214"/>
    <w:rsid w:val="00AA0539"/>
    <w:rsid w:val="00AA42BB"/>
    <w:rsid w:val="00AA517A"/>
    <w:rsid w:val="00AB0003"/>
    <w:rsid w:val="00AD02F8"/>
    <w:rsid w:val="00AD45E5"/>
    <w:rsid w:val="00AD61C9"/>
    <w:rsid w:val="00AE0675"/>
    <w:rsid w:val="00AE7C30"/>
    <w:rsid w:val="00AF1E0B"/>
    <w:rsid w:val="00B10A1F"/>
    <w:rsid w:val="00B11A4D"/>
    <w:rsid w:val="00B16702"/>
    <w:rsid w:val="00B22E1A"/>
    <w:rsid w:val="00B5393D"/>
    <w:rsid w:val="00B5614A"/>
    <w:rsid w:val="00B56F47"/>
    <w:rsid w:val="00B62234"/>
    <w:rsid w:val="00B6680D"/>
    <w:rsid w:val="00B844A7"/>
    <w:rsid w:val="00B97B77"/>
    <w:rsid w:val="00BB2320"/>
    <w:rsid w:val="00BB5F9C"/>
    <w:rsid w:val="00BC3782"/>
    <w:rsid w:val="00BC52E3"/>
    <w:rsid w:val="00BE1810"/>
    <w:rsid w:val="00BE783C"/>
    <w:rsid w:val="00BE79D1"/>
    <w:rsid w:val="00BF0A02"/>
    <w:rsid w:val="00BF2DD2"/>
    <w:rsid w:val="00BF43CA"/>
    <w:rsid w:val="00BF6D1F"/>
    <w:rsid w:val="00C01B4A"/>
    <w:rsid w:val="00C031F5"/>
    <w:rsid w:val="00C05DA6"/>
    <w:rsid w:val="00C1153A"/>
    <w:rsid w:val="00C1179D"/>
    <w:rsid w:val="00C356AB"/>
    <w:rsid w:val="00C47B73"/>
    <w:rsid w:val="00C507E7"/>
    <w:rsid w:val="00C52454"/>
    <w:rsid w:val="00C759D5"/>
    <w:rsid w:val="00C85F2E"/>
    <w:rsid w:val="00C90D5C"/>
    <w:rsid w:val="00C93100"/>
    <w:rsid w:val="00CA4972"/>
    <w:rsid w:val="00CA6DF4"/>
    <w:rsid w:val="00CB1F54"/>
    <w:rsid w:val="00CE1F38"/>
    <w:rsid w:val="00CE79CC"/>
    <w:rsid w:val="00D05EEA"/>
    <w:rsid w:val="00D07BE3"/>
    <w:rsid w:val="00D411E8"/>
    <w:rsid w:val="00D443D4"/>
    <w:rsid w:val="00D55026"/>
    <w:rsid w:val="00D66236"/>
    <w:rsid w:val="00D6656A"/>
    <w:rsid w:val="00D83CF1"/>
    <w:rsid w:val="00D93019"/>
    <w:rsid w:val="00D94469"/>
    <w:rsid w:val="00DA0901"/>
    <w:rsid w:val="00DA47AE"/>
    <w:rsid w:val="00DB4865"/>
    <w:rsid w:val="00DC3D34"/>
    <w:rsid w:val="00DD2F01"/>
    <w:rsid w:val="00DE0EAD"/>
    <w:rsid w:val="00DF537F"/>
    <w:rsid w:val="00E01B3E"/>
    <w:rsid w:val="00E06493"/>
    <w:rsid w:val="00E06606"/>
    <w:rsid w:val="00E074D6"/>
    <w:rsid w:val="00E25670"/>
    <w:rsid w:val="00E26E2E"/>
    <w:rsid w:val="00E3067A"/>
    <w:rsid w:val="00E31816"/>
    <w:rsid w:val="00E330D1"/>
    <w:rsid w:val="00E450A5"/>
    <w:rsid w:val="00E469CE"/>
    <w:rsid w:val="00E53D72"/>
    <w:rsid w:val="00E67BC2"/>
    <w:rsid w:val="00E70E57"/>
    <w:rsid w:val="00E74162"/>
    <w:rsid w:val="00E77263"/>
    <w:rsid w:val="00E843FC"/>
    <w:rsid w:val="00E85857"/>
    <w:rsid w:val="00E86BF7"/>
    <w:rsid w:val="00E97AB3"/>
    <w:rsid w:val="00EA1F3E"/>
    <w:rsid w:val="00EB346A"/>
    <w:rsid w:val="00EB6951"/>
    <w:rsid w:val="00EC01E9"/>
    <w:rsid w:val="00ED0B4B"/>
    <w:rsid w:val="00ED3663"/>
    <w:rsid w:val="00EE4EF4"/>
    <w:rsid w:val="00EE69D7"/>
    <w:rsid w:val="00EF0A7F"/>
    <w:rsid w:val="00F004CC"/>
    <w:rsid w:val="00F01831"/>
    <w:rsid w:val="00F253EE"/>
    <w:rsid w:val="00F3020B"/>
    <w:rsid w:val="00F36156"/>
    <w:rsid w:val="00F424A7"/>
    <w:rsid w:val="00F45330"/>
    <w:rsid w:val="00F460F1"/>
    <w:rsid w:val="00F54B64"/>
    <w:rsid w:val="00F55E34"/>
    <w:rsid w:val="00F60B98"/>
    <w:rsid w:val="00F62149"/>
    <w:rsid w:val="00F62E89"/>
    <w:rsid w:val="00F710B7"/>
    <w:rsid w:val="00F71B56"/>
    <w:rsid w:val="00F731D7"/>
    <w:rsid w:val="00F741BC"/>
    <w:rsid w:val="00F96913"/>
    <w:rsid w:val="00FA4E08"/>
    <w:rsid w:val="00FA636A"/>
    <w:rsid w:val="00FB6112"/>
    <w:rsid w:val="00FC3398"/>
    <w:rsid w:val="00FD0A27"/>
    <w:rsid w:val="00FD144C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512B5"/>
  <w15:docId w15:val="{1C716030-B1B2-4660-9F6E-084B8CCA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B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54B64"/>
    <w:rPr>
      <w:i/>
      <w:iCs/>
    </w:rPr>
  </w:style>
  <w:style w:type="paragraph" w:styleId="BalloonText">
    <w:name w:val="Balloon Text"/>
    <w:basedOn w:val="Normal"/>
    <w:link w:val="BalloonTextChar"/>
    <w:rsid w:val="00F5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B6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F6D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6D1F"/>
    <w:rPr>
      <w:rFonts w:ascii="Consolas" w:hAnsi="Consolas" w:cs="Consolas"/>
    </w:rPr>
  </w:style>
  <w:style w:type="paragraph" w:styleId="Header">
    <w:name w:val="header"/>
    <w:basedOn w:val="Normal"/>
    <w:link w:val="HeaderChar"/>
    <w:unhideWhenUsed/>
    <w:rsid w:val="00610F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F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0F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0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37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654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02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37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27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0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46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383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766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13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99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330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984">
          <w:blockQuote w:val="1"/>
          <w:marLeft w:val="450"/>
          <w:marRight w:val="750"/>
          <w:marTop w:val="600"/>
          <w:marBottom w:val="600"/>
          <w:divBdr>
            <w:top w:val="none" w:sz="0" w:space="0" w:color="auto"/>
            <w:left w:val="single" w:sz="12" w:space="11" w:color="AC1D21"/>
            <w:bottom w:val="none" w:sz="0" w:space="0" w:color="auto"/>
            <w:right w:val="none" w:sz="0" w:space="0" w:color="auto"/>
          </w:divBdr>
        </w:div>
      </w:divsChild>
    </w:div>
    <w:div w:id="1352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14E5-EE3F-44C4-AD3F-8FD156F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1901</Words>
  <Characters>11161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Klara Danilovic</cp:lastModifiedBy>
  <cp:revision>2</cp:revision>
  <dcterms:created xsi:type="dcterms:W3CDTF">2021-10-07T08:58:00Z</dcterms:created>
  <dcterms:modified xsi:type="dcterms:W3CDTF">2021-10-07T08:58:00Z</dcterms:modified>
</cp:coreProperties>
</file>