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56A2B" w14:textId="77777777" w:rsidR="00463E16" w:rsidRDefault="00463E16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p w14:paraId="2C46B6E9" w14:textId="77777777" w:rsidR="008E4725" w:rsidRDefault="008E4725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4488B" w14:paraId="20D9E1D7" w14:textId="77777777" w:rsidTr="00FD7F9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4488B" w:rsidRPr="00F54181" w14:paraId="4F5B7B6F" w14:textId="77777777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14:paraId="2FE3C078" w14:textId="77777777" w:rsidR="00E4488B" w:rsidRPr="00F54181" w:rsidRDefault="00E4488B" w:rsidP="00FD7F9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F54181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27519A9E" wp14:editId="00A56383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488B" w:rsidRPr="00F54181" w14:paraId="716F4BF7" w14:textId="77777777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14:paraId="039B21E0" w14:textId="77777777"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E4488B" w:rsidRPr="00F54181" w14:paraId="14950A5B" w14:textId="77777777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14:paraId="55C22868" w14:textId="77777777" w:rsidR="00E4488B" w:rsidRPr="00F54181" w:rsidRDefault="00E4488B" w:rsidP="00FD7F97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E4488B" w:rsidRPr="00F54181" w14:paraId="04FFC462" w14:textId="77777777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14:paraId="34BB001A" w14:textId="77777777"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E4488B" w:rsidRPr="00F54181" w14:paraId="0205C2C2" w14:textId="77777777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14:paraId="631D9C65" w14:textId="77777777"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411983">
                    <w:t>404-02-113/3</w:t>
                  </w:r>
                  <w:r w:rsidR="00AC7A62">
                    <w:t>/2017-02</w:t>
                  </w:r>
                </w:p>
              </w:tc>
            </w:tr>
            <w:tr w:rsidR="00E4488B" w:rsidRPr="00F54181" w14:paraId="436F0D64" w14:textId="77777777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14:paraId="320D4DD1" w14:textId="77777777"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411983">
                    <w:rPr>
                      <w:rFonts w:eastAsia="MS Mincho"/>
                      <w:color w:val="000000" w:themeColor="text1"/>
                      <w:lang w:val="sr-Cyrl-CS"/>
                    </w:rPr>
                    <w:t>03.08</w:t>
                  </w:r>
                  <w:r w:rsidR="00657546">
                    <w:rPr>
                      <w:rFonts w:eastAsia="MS Mincho"/>
                      <w:color w:val="000000" w:themeColor="text1"/>
                      <w:lang w:val="sr-Cyrl-CS"/>
                    </w:rPr>
                    <w:t>.2017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>. године</w:t>
                  </w:r>
                </w:p>
              </w:tc>
            </w:tr>
            <w:tr w:rsidR="00E4488B" w:rsidRPr="00F54181" w14:paraId="361A892D" w14:textId="77777777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14:paraId="1661843B" w14:textId="77777777"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14:paraId="330D509A" w14:textId="77777777"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14:paraId="2AB8EB79" w14:textId="77777777" w:rsidTr="00FD7F97">
        <w:tc>
          <w:tcPr>
            <w:tcW w:w="5036" w:type="dxa"/>
          </w:tcPr>
          <w:p w14:paraId="61B9A9EE" w14:textId="77777777"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14:paraId="74AE9228" w14:textId="77777777" w:rsidTr="00FD7F97">
        <w:tc>
          <w:tcPr>
            <w:tcW w:w="5036" w:type="dxa"/>
          </w:tcPr>
          <w:p w14:paraId="132E5CE6" w14:textId="77777777" w:rsidR="00E4488B" w:rsidRDefault="00E4488B" w:rsidP="00FD7F97">
            <w:pPr>
              <w:rPr>
                <w:color w:val="000000" w:themeColor="text1"/>
              </w:rPr>
            </w:pPr>
          </w:p>
        </w:tc>
      </w:tr>
    </w:tbl>
    <w:p w14:paraId="682A07FB" w14:textId="77777777" w:rsidR="00F445D3" w:rsidRPr="003E7C0D" w:rsidRDefault="009858EB" w:rsidP="00F445D3">
      <w:pPr>
        <w:jc w:val="both"/>
        <w:rPr>
          <w:rFonts w:eastAsia="Calibri"/>
        </w:rPr>
      </w:pPr>
      <w:r w:rsidRPr="00B12F2B">
        <w:rPr>
          <w:lang w:val="sr-Cyrl-CS"/>
        </w:rPr>
        <w:t>На основу члана 63. став 1. и члана 54. Закона о јавним набавкама („Сл. Гласник РС“ број 124/12,</w:t>
      </w:r>
      <w:r w:rsidR="00E20498" w:rsidRPr="00B12F2B">
        <w:rPr>
          <w:lang w:val="en-US"/>
        </w:rPr>
        <w:t xml:space="preserve"> </w:t>
      </w:r>
      <w:r w:rsidRPr="00B12F2B">
        <w:rPr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="00F445D3" w:rsidRPr="00D405ED">
        <w:rPr>
          <w:bCs/>
        </w:rPr>
        <w:t xml:space="preserve">Вршење анализе оправданости измене и обима измена </w:t>
      </w:r>
      <w:r w:rsidR="00F445D3">
        <w:rPr>
          <w:bCs/>
        </w:rPr>
        <w:t>следеће пројкетне документације</w:t>
      </w:r>
      <w:r w:rsidR="00F445D3" w:rsidRPr="00D405ED">
        <w:rPr>
          <w:bCs/>
        </w:rPr>
        <w:t xml:space="preserve">: Аутопут Е-763, Београд-Јужни Јадран, деоница 5: Лајковац-Љиг од км 53+138,91 до км 77+118,23; Измена Главног Пројекта Књига 3 Свеска 1; Аутопут Е-763, Београд-Јужни Јадран, деоница 5: Лајковац-Љиг од км 53+138,91 до км 77+118,23; Измена Главног Пројекта Књига 3 Свеска 2; </w:t>
      </w:r>
      <w:r w:rsidR="00F445D3">
        <w:rPr>
          <w:bCs/>
          <w:lang w:val="sr-Cyrl-RS"/>
        </w:rPr>
        <w:t>А</w:t>
      </w:r>
      <w:r w:rsidR="00F445D3" w:rsidRPr="00D405ED">
        <w:rPr>
          <w:bCs/>
        </w:rPr>
        <w:t>утопут Е-763, Београд-Јужни Јадран, деоница 5: Лајковац-Љиг од км 53+138,91 до км 77+118,23; Измена Главног Пројекта Књига 3 Свеска 3.1; Аутопут Е-763, Београд-Јужни Ј</w:t>
      </w:r>
      <w:r w:rsidR="00F445D3">
        <w:rPr>
          <w:bCs/>
        </w:rPr>
        <w:t xml:space="preserve">адран, деоница 5: </w:t>
      </w:r>
      <w:r w:rsidR="00F445D3" w:rsidRPr="00D405ED">
        <w:rPr>
          <w:bCs/>
        </w:rPr>
        <w:t>Београд-Јужни Јадран, деоница 5: Лајковац-Љиг од км 53+138,91 до км</w:t>
      </w:r>
      <w:r w:rsidR="00F445D3">
        <w:rPr>
          <w:bCs/>
          <w:lang w:val="sr-Cyrl-RS"/>
        </w:rPr>
        <w:t xml:space="preserve"> </w:t>
      </w:r>
      <w:r w:rsidR="00F445D3" w:rsidRPr="00D405ED">
        <w:rPr>
          <w:bCs/>
        </w:rPr>
        <w:t>77+118,23; Измена Главног Пројекта Књига 3 Свеска 3.2</w:t>
      </w:r>
      <w:r w:rsidR="00F445D3">
        <w:rPr>
          <w:bCs/>
          <w:lang w:val="sr-Cyrl-RS"/>
        </w:rPr>
        <w:t>.</w:t>
      </w:r>
      <w:r w:rsidR="00AC7A62" w:rsidRPr="00F339E7">
        <w:t>, назив и oзнака из општег речника набавке:</w:t>
      </w:r>
      <w:r w:rsidR="00AC7A62" w:rsidRPr="00F339E7">
        <w:rPr>
          <w:lang w:val="sr-Cyrl-CS"/>
        </w:rPr>
        <w:t xml:space="preserve"> </w:t>
      </w:r>
      <w:r w:rsidR="00F445D3" w:rsidRPr="003E7C0D">
        <w:rPr>
          <w:color w:val="000000"/>
          <w:lang w:val="sr-Cyrl-CS"/>
        </w:rPr>
        <w:t>71241000 – Студије изводљивости, саветодавне услуге, анализа</w:t>
      </w:r>
      <w:r w:rsidR="00F445D3">
        <w:rPr>
          <w:color w:val="000000"/>
          <w:lang w:val="sr-Cyrl-CS"/>
        </w:rPr>
        <w:t>.</w:t>
      </w:r>
    </w:p>
    <w:p w14:paraId="2F812757" w14:textId="77777777" w:rsidR="00F445D3" w:rsidRPr="00C967BE" w:rsidRDefault="00F445D3" w:rsidP="00F445D3">
      <w:pPr>
        <w:jc w:val="both"/>
        <w:rPr>
          <w:lang w:val="sr-Cyrl-RS"/>
        </w:rPr>
      </w:pPr>
    </w:p>
    <w:p w14:paraId="08CEF173" w14:textId="77777777" w:rsidR="009858EB" w:rsidRPr="00B12F2B" w:rsidRDefault="009858EB" w:rsidP="00F445D3">
      <w:pPr>
        <w:suppressAutoHyphens/>
        <w:spacing w:after="120" w:line="100" w:lineRule="atLeast"/>
        <w:jc w:val="both"/>
        <w:rPr>
          <w:color w:val="000000"/>
          <w:lang w:val="sr-Cyrl-RS"/>
        </w:rPr>
      </w:pPr>
    </w:p>
    <w:p w14:paraId="06118F24" w14:textId="77777777" w:rsidR="009858EB" w:rsidRPr="00B12F2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lang w:val="sr-Cyrl-CS"/>
        </w:rPr>
      </w:pPr>
    </w:p>
    <w:p w14:paraId="6AACFAB1" w14:textId="6EC9E936" w:rsidR="009858E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  <w:r w:rsidRPr="00B12F2B">
        <w:rPr>
          <w:b/>
          <w:lang w:val="sr-Cyrl-CS"/>
        </w:rPr>
        <w:t>ИЗМЕНА И ДОПУН</w:t>
      </w:r>
      <w:r w:rsidR="009D187C">
        <w:rPr>
          <w:b/>
          <w:lang w:val="sr-Cyrl-CS"/>
        </w:rPr>
        <w:t>А КОНКУРСНЕ ДОКУМЕНТАЦИЈЕ БРОЈ 2</w:t>
      </w:r>
    </w:p>
    <w:p w14:paraId="091A555C" w14:textId="77777777" w:rsidR="000E5EC7" w:rsidRDefault="000E5EC7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</w:p>
    <w:p w14:paraId="524963F7" w14:textId="77777777" w:rsidR="00BD0F8B" w:rsidRPr="00B12F2B" w:rsidRDefault="00BD0F8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</w:p>
    <w:p w14:paraId="648CE7C0" w14:textId="0BC4F626" w:rsidR="00AC7A62" w:rsidRPr="00782DD2" w:rsidRDefault="000E5EC7" w:rsidP="00560397">
      <w:pPr>
        <w:spacing w:line="259" w:lineRule="auto"/>
        <w:jc w:val="both"/>
        <w:rPr>
          <w:rFonts w:eastAsia="Calibri"/>
          <w:b/>
          <w:lang w:val="sr-Cyrl-CS"/>
        </w:rPr>
      </w:pPr>
      <w:r w:rsidRPr="00B12F2B">
        <w:rPr>
          <w:b/>
          <w:lang w:val="sr-Cyrl-CS"/>
        </w:rPr>
        <w:t>1</w:t>
      </w:r>
      <w:r w:rsidRPr="00782DD2">
        <w:rPr>
          <w:b/>
          <w:lang w:val="sr-Cyrl-CS"/>
        </w:rPr>
        <w:t xml:space="preserve">. На </w:t>
      </w:r>
      <w:r w:rsidR="00AC7A62" w:rsidRPr="00782DD2">
        <w:rPr>
          <w:b/>
          <w:lang w:val="sr-Cyrl-CS"/>
        </w:rPr>
        <w:t xml:space="preserve">страни </w:t>
      </w:r>
      <w:r w:rsidR="003774B4" w:rsidRPr="00782DD2">
        <w:rPr>
          <w:b/>
          <w:lang w:val="en-US"/>
        </w:rPr>
        <w:t>11</w:t>
      </w:r>
      <w:r w:rsidR="00D41999" w:rsidRPr="00782DD2">
        <w:rPr>
          <w:b/>
          <w:lang w:val="en-US"/>
        </w:rPr>
        <w:t xml:space="preserve"> </w:t>
      </w:r>
      <w:r w:rsidR="00560397" w:rsidRPr="00782DD2">
        <w:rPr>
          <w:b/>
          <w:lang w:val="sr-Cyrl-CS"/>
        </w:rPr>
        <w:t>конкурсне документације</w:t>
      </w:r>
      <w:r w:rsidR="00D41999" w:rsidRPr="00782DD2">
        <w:rPr>
          <w:b/>
          <w:lang w:val="en-US"/>
        </w:rPr>
        <w:t xml:space="preserve"> </w:t>
      </w:r>
      <w:r w:rsidR="00782DD2" w:rsidRPr="00782DD2">
        <w:rPr>
          <w:b/>
          <w:lang w:val="sr-Cyrl-CS"/>
        </w:rPr>
        <w:t xml:space="preserve">додаје се </w:t>
      </w:r>
      <w:r w:rsidR="003774B4" w:rsidRPr="00782DD2">
        <w:rPr>
          <w:b/>
          <w:lang w:val="sr-Cyrl-CS"/>
        </w:rPr>
        <w:t>:</w:t>
      </w:r>
    </w:p>
    <w:p w14:paraId="0CA3959B" w14:textId="77777777" w:rsidR="00AC7A62" w:rsidRPr="00782DD2" w:rsidRDefault="00AC7A62" w:rsidP="00AC7A62">
      <w:pPr>
        <w:jc w:val="both"/>
        <w:rPr>
          <w:b/>
          <w:lang w:val="sr-Cyrl-CS"/>
        </w:rPr>
      </w:pPr>
    </w:p>
    <w:tbl>
      <w:tblPr>
        <w:tblW w:w="878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798"/>
      </w:tblGrid>
      <w:tr w:rsidR="001A10AF" w:rsidRPr="00872821" w14:paraId="46E4920B" w14:textId="77777777" w:rsidTr="00956A3E">
        <w:trPr>
          <w:trHeight w:val="669"/>
        </w:trPr>
        <w:tc>
          <w:tcPr>
            <w:tcW w:w="1985" w:type="dxa"/>
            <w:shd w:val="clear" w:color="auto" w:fill="D9D9D9"/>
            <w:vAlign w:val="center"/>
          </w:tcPr>
          <w:p w14:paraId="7AAF2183" w14:textId="3DB21410" w:rsidR="001A10AF" w:rsidRPr="00782DD2" w:rsidRDefault="003774B4" w:rsidP="00956A3E">
            <w:pPr>
              <w:jc w:val="center"/>
              <w:rPr>
                <w:b/>
                <w:lang w:val="sr-Cyrl-CS"/>
              </w:rPr>
            </w:pPr>
            <w:r w:rsidRPr="00782DD2">
              <w:rPr>
                <w:b/>
                <w:lang w:val="sr-Cyrl-CS"/>
              </w:rPr>
              <w:t>8</w:t>
            </w:r>
            <w:r w:rsidR="001A10AF" w:rsidRPr="00782DD2">
              <w:rPr>
                <w:b/>
                <w:lang w:val="sr-Cyrl-CS"/>
              </w:rPr>
              <w:t>.Услов</w:t>
            </w:r>
          </w:p>
          <w:p w14:paraId="2BA5A65D" w14:textId="77777777" w:rsidR="001A10AF" w:rsidRPr="00782DD2" w:rsidRDefault="001A10AF" w:rsidP="00956A3E">
            <w:pPr>
              <w:ind w:left="-174" w:right="-138"/>
              <w:jc w:val="center"/>
              <w:rPr>
                <w:lang w:val="sr-Cyrl-CS"/>
              </w:rPr>
            </w:pPr>
          </w:p>
        </w:tc>
        <w:tc>
          <w:tcPr>
            <w:tcW w:w="6798" w:type="dxa"/>
            <w:shd w:val="clear" w:color="auto" w:fill="D9D9D9"/>
          </w:tcPr>
          <w:p w14:paraId="0CEBF65C" w14:textId="77777777" w:rsidR="001A10AF" w:rsidRPr="00782DD2" w:rsidRDefault="001A10AF" w:rsidP="00956A3E">
            <w:pPr>
              <w:spacing w:line="240" w:lineRule="atLeast"/>
              <w:rPr>
                <w:b/>
                <w:lang w:val="sr-Cyrl-CS"/>
              </w:rPr>
            </w:pPr>
            <w:r w:rsidRPr="00782DD2">
              <w:rPr>
                <w:b/>
                <w:lang w:val="sr-Cyrl-CS"/>
              </w:rPr>
              <w:t xml:space="preserve">Обавеза обиласка локације </w:t>
            </w:r>
          </w:p>
          <w:p w14:paraId="45019794" w14:textId="6BB3AE4C" w:rsidR="00CE5468" w:rsidRPr="00782DD2" w:rsidRDefault="001A10AF" w:rsidP="00CE5468">
            <w:pPr>
              <w:spacing w:line="276" w:lineRule="auto"/>
              <w:ind w:right="403"/>
              <w:jc w:val="both"/>
              <w:rPr>
                <w:rFonts w:ascii="Arial Narrow" w:hAnsi="Arial Narrow"/>
                <w:lang w:val="en-US"/>
              </w:rPr>
            </w:pPr>
            <w:r w:rsidRPr="00782DD2">
              <w:rPr>
                <w:lang w:val="sr-Cyrl-CS"/>
              </w:rPr>
              <w:t xml:space="preserve">Обилазак локације обавиће </w:t>
            </w:r>
            <w:r w:rsidR="003774B4" w:rsidRPr="00782DD2">
              <w:rPr>
                <w:lang w:val="sr-Cyrl-CS"/>
              </w:rPr>
              <w:t xml:space="preserve">се </w:t>
            </w:r>
            <w:r w:rsidRPr="00782DD2">
              <w:rPr>
                <w:lang w:val="sr-Cyrl-CS"/>
              </w:rPr>
              <w:t xml:space="preserve"> само уз претходну п</w:t>
            </w:r>
            <w:r w:rsidR="00A05539" w:rsidRPr="00782DD2">
              <w:rPr>
                <w:lang w:val="sr-Cyrl-CS"/>
              </w:rPr>
              <w:t>ријаву на меморандуму понуђача где ће навести имена  овлашћених</w:t>
            </w:r>
            <w:r w:rsidRPr="00782DD2">
              <w:rPr>
                <w:lang w:val="sr-Cyrl-CS"/>
              </w:rPr>
              <w:t xml:space="preserve"> лица понуђача која ће извршити обил</w:t>
            </w:r>
            <w:r w:rsidR="008D0A2C" w:rsidRPr="00782DD2">
              <w:rPr>
                <w:lang w:val="sr-Cyrl-CS"/>
              </w:rPr>
              <w:t>а</w:t>
            </w:r>
            <w:r w:rsidRPr="00782DD2">
              <w:rPr>
                <w:lang w:val="sr-Cyrl-CS"/>
              </w:rPr>
              <w:t xml:space="preserve">зак локације. Понуђачи су обавезни да изврше обилазак локације ради подношења прихватљиве понуде што ће се евидентирати од стране </w:t>
            </w:r>
            <w:r w:rsidR="008D0A2C" w:rsidRPr="00782DD2">
              <w:rPr>
                <w:lang w:val="sr-Cyrl-CS"/>
              </w:rPr>
              <w:t xml:space="preserve">представника </w:t>
            </w:r>
            <w:r w:rsidRPr="00782DD2">
              <w:rPr>
                <w:color w:val="FF0000"/>
                <w:lang w:val="sr-Cyrl-CS"/>
              </w:rPr>
              <w:t xml:space="preserve"> </w:t>
            </w:r>
            <w:r w:rsidR="001C5E2C">
              <w:rPr>
                <w:lang w:val="sr-Cyrl-CS"/>
              </w:rPr>
              <w:t>Наручиоца</w:t>
            </w:r>
            <w:r w:rsidRPr="00782DD2">
              <w:rPr>
                <w:lang w:val="sr-Cyrl-CS"/>
              </w:rPr>
              <w:t xml:space="preserve">.  Пријаве за обилазак </w:t>
            </w:r>
            <w:r w:rsidRPr="00782DD2">
              <w:rPr>
                <w:lang w:val="sr-Cyrl-CS"/>
              </w:rPr>
              <w:lastRenderedPageBreak/>
              <w:t xml:space="preserve">локације </w:t>
            </w:r>
            <w:r w:rsidR="003774B4" w:rsidRPr="00782DD2">
              <w:rPr>
                <w:lang w:val="sr-Cyrl-CS"/>
              </w:rPr>
              <w:t xml:space="preserve">морају стићи један дан пре рока </w:t>
            </w:r>
            <w:r w:rsidR="003774B4" w:rsidRPr="00782DD2">
              <w:rPr>
                <w:lang w:val="sr-Cyrl-CS"/>
              </w:rPr>
              <w:t xml:space="preserve">за обилазак локације и </w:t>
            </w:r>
            <w:r w:rsidRPr="00782DD2">
              <w:rPr>
                <w:lang w:val="sr-Cyrl-CS"/>
              </w:rPr>
              <w:t xml:space="preserve">достављају </w:t>
            </w:r>
            <w:r w:rsidR="003774B4" w:rsidRPr="00782DD2">
              <w:rPr>
                <w:lang w:val="sr-Cyrl-CS"/>
              </w:rPr>
              <w:t xml:space="preserve">се </w:t>
            </w:r>
            <w:r w:rsidRPr="00782DD2">
              <w:rPr>
                <w:lang w:val="sr-Cyrl-CS"/>
              </w:rPr>
              <w:t>на е-</w:t>
            </w:r>
            <w:r w:rsidRPr="00782DD2">
              <w:t>mail</w:t>
            </w:r>
            <w:r w:rsidRPr="00782DD2">
              <w:rPr>
                <w:lang w:val="sr-Cyrl-RS"/>
              </w:rPr>
              <w:t xml:space="preserve">: </w:t>
            </w:r>
            <w:r w:rsidRPr="00782DD2">
              <w:rPr>
                <w:rFonts w:eastAsia="Arial Unicode MS"/>
                <w:iCs/>
                <w:kern w:val="1"/>
                <w:lang w:eastAsia="ar-SA"/>
              </w:rPr>
              <w:t xml:space="preserve"> </w:t>
            </w:r>
            <w:hyperlink r:id="rId8" w:history="1">
              <w:r w:rsidRPr="001C5E2C">
                <w:rPr>
                  <w:rStyle w:val="Hyperlink"/>
                  <w:rFonts w:eastAsia="Arial Unicode MS"/>
                  <w:b/>
                  <w:iCs/>
                  <w:color w:val="auto"/>
                  <w:kern w:val="1"/>
                  <w:lang w:eastAsia="ar-SA"/>
                </w:rPr>
                <w:t>snezana.sokcanic@mgsi.gov.rs</w:t>
              </w:r>
            </w:hyperlink>
            <w:r w:rsidRPr="001C5E2C">
              <w:rPr>
                <w:b/>
                <w:lang w:val="sr-Cyrl-CS"/>
              </w:rPr>
              <w:t xml:space="preserve"> </w:t>
            </w:r>
            <w:r w:rsidR="001C5E2C">
              <w:rPr>
                <w:lang w:val="sr-Cyrl-CS"/>
              </w:rPr>
              <w:t>са назнаком за</w:t>
            </w:r>
            <w:r w:rsidR="00CE5468" w:rsidRPr="00782DD2">
              <w:rPr>
                <w:bCs/>
              </w:rPr>
              <w:t>:</w:t>
            </w:r>
            <w:r w:rsidR="001C5E2C">
              <w:rPr>
                <w:lang w:val="sr-Cyrl-CS"/>
              </w:rPr>
              <w:t xml:space="preserve"> </w:t>
            </w:r>
            <w:r w:rsidR="00CE5468" w:rsidRPr="001C5E2C">
              <w:rPr>
                <w:b/>
                <w:lang w:val="sr-Cyrl-CS"/>
              </w:rPr>
              <w:t>ЈН број 28/2017</w:t>
            </w:r>
            <w:r w:rsidR="001C5E2C" w:rsidRPr="001C5E2C">
              <w:rPr>
                <w:b/>
                <w:lang w:val="sr-Cyrl-CS"/>
              </w:rPr>
              <w:t>,</w:t>
            </w:r>
            <w:r w:rsidR="00A05539" w:rsidRPr="00782DD2">
              <w:rPr>
                <w:bCs/>
              </w:rPr>
              <w:t xml:space="preserve"> </w:t>
            </w:r>
            <w:r w:rsidR="00A05539" w:rsidRPr="00782DD2">
              <w:rPr>
                <w:bCs/>
              </w:rPr>
              <w:t>Вршење анализе оправданости измене и обима измена следеће пројкетне документације</w:t>
            </w:r>
            <w:r w:rsidR="00CE5468" w:rsidRPr="00782DD2">
              <w:rPr>
                <w:bCs/>
              </w:rPr>
              <w:t xml:space="preserve"> Аутопут Е-763, Београд-Јужни Јадран, деоница 5: Лајковац-Љиг од км 53+138,91 до км 77+118,23; Измена Главног Пројекта Књига 3 Свеска 1; Аутопут Е-763, Београд-Јужни Јадран, деоница 5: Лајковац-Љиг од км 53+138,91 до км 77+118,23; Измена Главног Пројекта Књига 3 Свеска 2; утопут Е-763, Београд-Јужни Јадран, деоница 5: Лајковац-Љиг од км 53+138,91 до км 77+118,23; Измена Главног Пројекта Књига 3 Свеска 3.1; Аутопут Е-763, Београд-Јужни Јадран, деоница 5: , Београд-Јужни Јадран, деоница 5: Лајковац-Љиг од км 53+138,91 до км77+118,23; Измена Главног Пројекта Књига 3 Свеска 3.2</w:t>
            </w:r>
            <w:r w:rsidR="00CE5468" w:rsidRPr="00782DD2">
              <w:rPr>
                <w:bCs/>
                <w:lang w:val="sr-Cyrl-RS"/>
              </w:rPr>
              <w:t>.</w:t>
            </w:r>
          </w:p>
          <w:p w14:paraId="6920D677" w14:textId="77777777" w:rsidR="00CE5468" w:rsidRPr="00782DD2" w:rsidRDefault="00CE5468" w:rsidP="00CE5468">
            <w:pPr>
              <w:widowControl w:val="0"/>
              <w:autoSpaceDE w:val="0"/>
              <w:autoSpaceDN w:val="0"/>
              <w:adjustRightInd w:val="0"/>
              <w:spacing w:before="9" w:after="200" w:line="240" w:lineRule="atLeast"/>
              <w:ind w:right="4"/>
              <w:jc w:val="both"/>
              <w:rPr>
                <w:lang w:val="sr-Cyrl-CS"/>
              </w:rPr>
            </w:pPr>
          </w:p>
          <w:p w14:paraId="5356E037" w14:textId="293D7734" w:rsidR="001A10AF" w:rsidRPr="00782DD2" w:rsidRDefault="001A10AF" w:rsidP="003774B4">
            <w:pPr>
              <w:rPr>
                <w:lang w:val="sr-Cyrl-CS"/>
              </w:rPr>
            </w:pPr>
          </w:p>
        </w:tc>
      </w:tr>
      <w:tr w:rsidR="001A10AF" w:rsidRPr="00872821" w14:paraId="10361272" w14:textId="77777777" w:rsidTr="00956A3E">
        <w:trPr>
          <w:trHeight w:val="669"/>
        </w:trPr>
        <w:tc>
          <w:tcPr>
            <w:tcW w:w="1985" w:type="dxa"/>
            <w:shd w:val="clear" w:color="auto" w:fill="auto"/>
            <w:vAlign w:val="center"/>
          </w:tcPr>
          <w:p w14:paraId="49C397B2" w14:textId="77777777" w:rsidR="001A10AF" w:rsidRPr="00782DD2" w:rsidRDefault="001A10AF" w:rsidP="00956A3E">
            <w:pPr>
              <w:ind w:left="-174" w:right="-138"/>
              <w:jc w:val="center"/>
              <w:rPr>
                <w:b/>
              </w:rPr>
            </w:pPr>
            <w:r w:rsidRPr="00782DD2">
              <w:rPr>
                <w:b/>
                <w:lang w:val="sr-Cyrl-CS"/>
              </w:rPr>
              <w:lastRenderedPageBreak/>
              <w:t>Доказ</w:t>
            </w:r>
          </w:p>
          <w:p w14:paraId="6F9F707C" w14:textId="77777777" w:rsidR="001A10AF" w:rsidRPr="00872821" w:rsidRDefault="001A10AF" w:rsidP="00956A3E">
            <w:pPr>
              <w:jc w:val="center"/>
              <w:rPr>
                <w:lang w:val="sr-Cyrl-CS"/>
              </w:rPr>
            </w:pPr>
          </w:p>
        </w:tc>
        <w:tc>
          <w:tcPr>
            <w:tcW w:w="6798" w:type="dxa"/>
            <w:shd w:val="clear" w:color="auto" w:fill="auto"/>
          </w:tcPr>
          <w:p w14:paraId="52AB49AB" w14:textId="174A0018" w:rsidR="001A10AF" w:rsidRPr="00872821" w:rsidRDefault="001A10AF" w:rsidP="00956A3E">
            <w:pPr>
              <w:rPr>
                <w:lang w:val="sr-Cyrl-CS"/>
              </w:rPr>
            </w:pPr>
            <w:r>
              <w:rPr>
                <w:lang w:val="sr-Cyrl-CS"/>
              </w:rPr>
              <w:t>Изјава</w:t>
            </w:r>
            <w:r w:rsidRPr="00872821">
              <w:rPr>
                <w:lang w:val="sr-Cyrl-CS"/>
              </w:rPr>
              <w:t xml:space="preserve"> о обиласку л</w:t>
            </w:r>
            <w:r w:rsidR="009C74CF">
              <w:rPr>
                <w:lang w:val="sr-Cyrl-CS"/>
              </w:rPr>
              <w:t xml:space="preserve">окације потписана од стране </w:t>
            </w:r>
            <w:r w:rsidR="001C5E2C">
              <w:rPr>
                <w:lang w:val="sr-Cyrl-CS"/>
              </w:rPr>
              <w:t>овлашћеног</w:t>
            </w:r>
            <w:r w:rsidR="009C74CF" w:rsidRPr="00782DD2">
              <w:rPr>
                <w:lang w:val="sr-Cyrl-CS"/>
              </w:rPr>
              <w:t xml:space="preserve"> лица понуђача</w:t>
            </w:r>
            <w:r w:rsidR="001C5E2C">
              <w:rPr>
                <w:lang w:val="sr-Cyrl-CS"/>
              </w:rPr>
              <w:t xml:space="preserve"> које</w:t>
            </w:r>
            <w:r w:rsidRPr="00872821">
              <w:rPr>
                <w:lang w:val="sr-Cyrl-CS"/>
              </w:rPr>
              <w:t xml:space="preserve"> ће бити присутно на обиласку,</w:t>
            </w:r>
            <w:r>
              <w:rPr>
                <w:lang w:val="sr-Cyrl-CS"/>
              </w:rPr>
              <w:t xml:space="preserve"> </w:t>
            </w:r>
            <w:r w:rsidR="001C5E2C">
              <w:rPr>
                <w:lang w:val="sr-Cyrl-CS"/>
              </w:rPr>
              <w:t xml:space="preserve">и </w:t>
            </w:r>
            <w:r>
              <w:rPr>
                <w:lang w:val="sr-Cyrl-CS"/>
              </w:rPr>
              <w:t>представник</w:t>
            </w:r>
            <w:r w:rsidR="001C5E2C">
              <w:rPr>
                <w:lang w:val="sr-Cyrl-CS"/>
              </w:rPr>
              <w:t>а</w:t>
            </w:r>
            <w:r>
              <w:rPr>
                <w:lang w:val="sr-Cyrl-CS"/>
              </w:rPr>
              <w:t xml:space="preserve"> Наручи</w:t>
            </w:r>
            <w:r w:rsidR="008D0A2C">
              <w:rPr>
                <w:lang w:val="sr-Cyrl-CS"/>
              </w:rPr>
              <w:t xml:space="preserve">оца </w:t>
            </w:r>
            <w:r w:rsidRPr="00872821">
              <w:rPr>
                <w:lang w:val="sr-Cyrl-CS"/>
              </w:rPr>
              <w:t xml:space="preserve"> (образац </w:t>
            </w:r>
            <w:r w:rsidR="00BF508A">
              <w:rPr>
                <w:lang w:val="sr-Cyrl-CS"/>
              </w:rPr>
              <w:t>изјаве</w:t>
            </w:r>
            <w:r w:rsidR="001C5E2C">
              <w:rPr>
                <w:lang w:val="sr-Cyrl-CS"/>
              </w:rPr>
              <w:t xml:space="preserve"> је</w:t>
            </w:r>
            <w:r w:rsidR="00BF508A">
              <w:rPr>
                <w:lang w:val="sr-Cyrl-CS"/>
              </w:rPr>
              <w:t xml:space="preserve"> </w:t>
            </w:r>
            <w:r w:rsidRPr="00872821">
              <w:rPr>
                <w:lang w:val="sr-Cyrl-CS"/>
              </w:rPr>
              <w:t>у конкурсној документацији)</w:t>
            </w:r>
            <w:r w:rsidR="001C5E2C">
              <w:rPr>
                <w:lang w:val="sr-Cyrl-CS"/>
              </w:rPr>
              <w:t>.</w:t>
            </w:r>
          </w:p>
        </w:tc>
      </w:tr>
    </w:tbl>
    <w:p w14:paraId="056E536B" w14:textId="77777777" w:rsidR="00D41999" w:rsidRDefault="00D41999" w:rsidP="00AC7A62">
      <w:pPr>
        <w:jc w:val="both"/>
        <w:rPr>
          <w:b/>
          <w:lang w:val="sr-Cyrl-CS"/>
        </w:rPr>
      </w:pPr>
    </w:p>
    <w:p w14:paraId="7482E598" w14:textId="77777777" w:rsidR="00D41999" w:rsidRDefault="00D41999" w:rsidP="00AC7A62">
      <w:pPr>
        <w:jc w:val="both"/>
        <w:rPr>
          <w:b/>
          <w:lang w:val="sr-Cyrl-CS"/>
        </w:rPr>
      </w:pPr>
    </w:p>
    <w:p w14:paraId="5CAEDB1F" w14:textId="77777777" w:rsidR="00D41999" w:rsidRDefault="00D41999" w:rsidP="00AC7A62">
      <w:pPr>
        <w:jc w:val="both"/>
        <w:rPr>
          <w:b/>
          <w:lang w:val="sr-Cyrl-CS"/>
        </w:rPr>
      </w:pPr>
    </w:p>
    <w:p w14:paraId="3B192B79" w14:textId="0C6DC448" w:rsidR="00D41999" w:rsidRDefault="00D6477B" w:rsidP="00AC7A62">
      <w:pPr>
        <w:jc w:val="both"/>
        <w:rPr>
          <w:b/>
          <w:lang w:val="sr-Cyrl-CS"/>
        </w:rPr>
      </w:pPr>
      <w:r>
        <w:rPr>
          <w:b/>
          <w:lang w:val="sr-Cyrl-CS"/>
        </w:rPr>
        <w:t>2. На страни 44 конкурсне документације додаје се:</w:t>
      </w:r>
    </w:p>
    <w:p w14:paraId="4FA59A6C" w14:textId="77777777" w:rsidR="00D41999" w:rsidRDefault="00D41999" w:rsidP="00AC7A62">
      <w:pPr>
        <w:jc w:val="both"/>
        <w:rPr>
          <w:b/>
          <w:lang w:val="sr-Cyrl-CS"/>
        </w:rPr>
      </w:pPr>
    </w:p>
    <w:p w14:paraId="1F21F66E" w14:textId="77777777" w:rsidR="00D41999" w:rsidRDefault="00D41999" w:rsidP="00AC7A62">
      <w:pPr>
        <w:jc w:val="both"/>
        <w:rPr>
          <w:b/>
          <w:lang w:val="sr-Cyrl-CS"/>
        </w:rPr>
      </w:pPr>
    </w:p>
    <w:p w14:paraId="17E5B55C" w14:textId="77777777" w:rsidR="00BF086A" w:rsidRPr="00770514" w:rsidRDefault="00BF086A" w:rsidP="00BF086A">
      <w:pPr>
        <w:keepNext/>
        <w:pageBreakBefore/>
        <w:shd w:val="clear" w:color="auto" w:fill="C6D9F1"/>
        <w:spacing w:before="120" w:after="240"/>
        <w:jc w:val="center"/>
        <w:outlineLvl w:val="1"/>
        <w:rPr>
          <w:lang w:val="sr-Cyrl-CS" w:eastAsia="x-none"/>
        </w:rPr>
      </w:pPr>
      <w:bookmarkStart w:id="0" w:name="_Toc482105330"/>
      <w:r w:rsidRPr="00BA6654">
        <w:rPr>
          <w:b/>
          <w:bCs/>
          <w:i/>
          <w:iCs/>
          <w:lang w:val="sr-Cyrl-CS" w:eastAsia="x-none"/>
        </w:rPr>
        <w:lastRenderedPageBreak/>
        <w:t xml:space="preserve">ОБРАЗАЦ ИЗЈАВЕ  О ОБИЛАСКУ ЛОКАЦИЈЕ </w:t>
      </w:r>
      <w:bookmarkEnd w:id="0"/>
    </w:p>
    <w:p w14:paraId="626B5BDE" w14:textId="77777777" w:rsidR="00BF086A" w:rsidRPr="00BA6654" w:rsidRDefault="00BF086A" w:rsidP="00BF086A">
      <w:pPr>
        <w:suppressAutoHyphens/>
        <w:spacing w:after="120" w:line="100" w:lineRule="atLeast"/>
        <w:rPr>
          <w:color w:val="000000"/>
          <w:kern w:val="1"/>
          <w:lang w:val="sr-Cyrl-RS" w:eastAsia="ar-SA"/>
        </w:rPr>
      </w:pPr>
      <w:r w:rsidRPr="00BA6654">
        <w:rPr>
          <w:rFonts w:ascii="Arial" w:hAnsi="Arial" w:cs="Arial"/>
          <w:color w:val="000000"/>
          <w:kern w:val="1"/>
          <w:lang w:val="x-none" w:eastAsia="ar-SA"/>
        </w:rPr>
        <w:tab/>
      </w:r>
      <w:r w:rsidRPr="00BA6654">
        <w:rPr>
          <w:rFonts w:ascii="Arial" w:hAnsi="Arial" w:cs="Arial"/>
          <w:color w:val="000000"/>
          <w:kern w:val="1"/>
          <w:lang w:val="x-none" w:eastAsia="ar-SA"/>
        </w:rPr>
        <w:tab/>
      </w:r>
      <w:r w:rsidRPr="00BA6654">
        <w:rPr>
          <w:color w:val="000000"/>
          <w:kern w:val="1"/>
          <w:lang w:val="sr-Cyrl-RS" w:eastAsia="ar-SA"/>
        </w:rPr>
        <w:t xml:space="preserve">Понуђач ________________________________________, даје следећу </w:t>
      </w:r>
    </w:p>
    <w:p w14:paraId="435A68BA" w14:textId="77777777" w:rsidR="00BF086A" w:rsidRPr="00BA6654" w:rsidRDefault="00BF086A" w:rsidP="00BF086A">
      <w:pPr>
        <w:suppressAutoHyphens/>
        <w:spacing w:line="100" w:lineRule="atLeast"/>
        <w:jc w:val="both"/>
        <w:rPr>
          <w:rFonts w:ascii="Arial" w:hAnsi="Arial" w:cs="Arial"/>
          <w:color w:val="000000"/>
          <w:kern w:val="1"/>
          <w:lang w:val="sr-Cyrl-RS" w:eastAsia="ar-SA"/>
        </w:rPr>
      </w:pPr>
    </w:p>
    <w:p w14:paraId="7E707232" w14:textId="77777777" w:rsidR="00BF086A" w:rsidRPr="00660EEF" w:rsidRDefault="00BF086A" w:rsidP="00BF086A">
      <w:pPr>
        <w:suppressAutoHyphens/>
        <w:spacing w:line="100" w:lineRule="atLeast"/>
        <w:jc w:val="both"/>
        <w:rPr>
          <w:rFonts w:ascii="Arial" w:hAnsi="Arial" w:cs="Arial"/>
          <w:color w:val="000000"/>
          <w:kern w:val="1"/>
          <w:lang w:val="sr-Cyrl-RS" w:eastAsia="ar-SA"/>
        </w:rPr>
      </w:pPr>
    </w:p>
    <w:p w14:paraId="3AD9E512" w14:textId="77777777" w:rsidR="00BF086A" w:rsidRPr="00BA6654" w:rsidRDefault="00BF086A" w:rsidP="00BF086A">
      <w:pPr>
        <w:suppressAutoHyphens/>
        <w:spacing w:line="100" w:lineRule="atLeast"/>
        <w:jc w:val="center"/>
        <w:rPr>
          <w:b/>
          <w:color w:val="000000"/>
          <w:kern w:val="1"/>
          <w:lang w:val="sr-Cyrl-RS" w:eastAsia="ar-SA"/>
        </w:rPr>
      </w:pPr>
      <w:r w:rsidRPr="00BA6654">
        <w:rPr>
          <w:b/>
          <w:color w:val="000000"/>
          <w:kern w:val="1"/>
          <w:lang w:val="sr-Cyrl-RS" w:eastAsia="ar-SA"/>
        </w:rPr>
        <w:t>И З Ј А В У</w:t>
      </w:r>
    </w:p>
    <w:p w14:paraId="5435B596" w14:textId="77777777" w:rsidR="00BF086A" w:rsidRPr="00BA6654" w:rsidRDefault="00BF086A" w:rsidP="00BF086A">
      <w:pPr>
        <w:suppressAutoHyphens/>
        <w:spacing w:line="100" w:lineRule="atLeast"/>
        <w:jc w:val="center"/>
        <w:rPr>
          <w:b/>
          <w:color w:val="000000"/>
          <w:kern w:val="1"/>
          <w:lang w:val="sr-Cyrl-RS" w:eastAsia="ar-SA"/>
        </w:rPr>
      </w:pPr>
      <w:r w:rsidRPr="00BA6654">
        <w:rPr>
          <w:b/>
          <w:color w:val="000000"/>
          <w:kern w:val="1"/>
          <w:lang w:val="sr-Cyrl-RS" w:eastAsia="ar-SA"/>
        </w:rPr>
        <w:t>О ОБИЛА</w:t>
      </w:r>
      <w:r>
        <w:rPr>
          <w:b/>
          <w:color w:val="000000"/>
          <w:kern w:val="1"/>
          <w:lang w:val="sr-Cyrl-RS" w:eastAsia="ar-SA"/>
        </w:rPr>
        <w:t xml:space="preserve">СКУ ЛОКАЦИЈЕ </w:t>
      </w:r>
      <w:r w:rsidRPr="00BA6654">
        <w:rPr>
          <w:b/>
          <w:color w:val="000000"/>
          <w:kern w:val="1"/>
          <w:lang w:val="sr-Cyrl-RS" w:eastAsia="ar-SA"/>
        </w:rPr>
        <w:t xml:space="preserve"> </w:t>
      </w:r>
    </w:p>
    <w:p w14:paraId="2B84115D" w14:textId="77777777" w:rsidR="00BF086A" w:rsidRPr="00BA6654" w:rsidRDefault="00BF086A" w:rsidP="00BF086A">
      <w:pPr>
        <w:suppressAutoHyphens/>
        <w:spacing w:line="100" w:lineRule="atLeast"/>
        <w:jc w:val="center"/>
        <w:rPr>
          <w:b/>
          <w:color w:val="000000"/>
          <w:kern w:val="1"/>
          <w:lang w:val="sr-Cyrl-RS" w:eastAsia="ar-SA"/>
        </w:rPr>
      </w:pPr>
    </w:p>
    <w:p w14:paraId="049AD669" w14:textId="77777777" w:rsidR="00BF086A" w:rsidRPr="00BA6654" w:rsidRDefault="00BF086A" w:rsidP="00BF086A">
      <w:pPr>
        <w:suppressAutoHyphens/>
        <w:spacing w:line="100" w:lineRule="atLeast"/>
        <w:jc w:val="center"/>
        <w:rPr>
          <w:b/>
          <w:color w:val="000000"/>
          <w:kern w:val="1"/>
          <w:lang w:val="sr-Cyrl-RS" w:eastAsia="ar-SA"/>
        </w:rPr>
      </w:pPr>
    </w:p>
    <w:p w14:paraId="43202168" w14:textId="77777777" w:rsidR="00BF086A" w:rsidRPr="00BA6654" w:rsidRDefault="00BF086A" w:rsidP="00BF086A">
      <w:pPr>
        <w:tabs>
          <w:tab w:val="left" w:pos="2694"/>
        </w:tabs>
        <w:suppressAutoHyphens/>
        <w:spacing w:line="100" w:lineRule="atLeast"/>
        <w:jc w:val="center"/>
        <w:rPr>
          <w:color w:val="000000"/>
          <w:kern w:val="1"/>
          <w:lang w:val="sr-Cyrl-RS" w:eastAsia="ar-SA"/>
        </w:rPr>
      </w:pPr>
    </w:p>
    <w:p w14:paraId="78FCCA47" w14:textId="6F34C893" w:rsidR="00CD5533" w:rsidRPr="004248F1" w:rsidRDefault="00BF086A" w:rsidP="00CD5533">
      <w:pPr>
        <w:spacing w:line="276" w:lineRule="auto"/>
        <w:ind w:right="403"/>
        <w:jc w:val="both"/>
        <w:rPr>
          <w:rFonts w:ascii="Arial Narrow" w:hAnsi="Arial Narrow"/>
          <w:lang w:val="en-US"/>
        </w:rPr>
      </w:pPr>
      <w:r w:rsidRPr="00BA6654">
        <w:rPr>
          <w:color w:val="000000"/>
          <w:kern w:val="1"/>
          <w:lang w:val="sr-Cyrl-RS" w:eastAsia="ar-SA"/>
        </w:rPr>
        <w:tab/>
        <w:t>Понуђач __________________________________________________, са седиштем у ____________________________, по пријави коју је поднео Наручиоцу и обавештењу Наручиоца, дана _________________. годи</w:t>
      </w:r>
      <w:r w:rsidR="0039706A">
        <w:rPr>
          <w:color w:val="000000"/>
          <w:kern w:val="1"/>
          <w:lang w:val="sr-Cyrl-RS" w:eastAsia="ar-SA"/>
        </w:rPr>
        <w:t>не, обишао је локацију која је везана за предмет</w:t>
      </w:r>
      <w:r w:rsidR="0094285F">
        <w:rPr>
          <w:color w:val="000000"/>
          <w:kern w:val="1"/>
          <w:lang w:val="sr-Cyrl-RS" w:eastAsia="ar-SA"/>
        </w:rPr>
        <w:t xml:space="preserve"> јавне</w:t>
      </w:r>
      <w:bookmarkStart w:id="1" w:name="_GoBack"/>
      <w:bookmarkEnd w:id="1"/>
      <w:r w:rsidR="0039706A">
        <w:rPr>
          <w:color w:val="000000"/>
          <w:kern w:val="1"/>
          <w:lang w:val="sr-Cyrl-RS" w:eastAsia="ar-SA"/>
        </w:rPr>
        <w:t xml:space="preserve"> набавке,</w:t>
      </w:r>
      <w:r w:rsidR="00317703">
        <w:rPr>
          <w:color w:val="000000"/>
          <w:kern w:val="1"/>
          <w:lang w:val="sr-Cyrl-RS" w:eastAsia="ar-SA"/>
        </w:rPr>
        <w:t xml:space="preserve"> детаљ</w:t>
      </w:r>
      <w:r w:rsidRPr="00BA6654">
        <w:rPr>
          <w:color w:val="000000"/>
          <w:kern w:val="1"/>
          <w:lang w:val="sr-Cyrl-RS" w:eastAsia="ar-SA"/>
        </w:rPr>
        <w:t>но је прег</w:t>
      </w:r>
      <w:r w:rsidR="0039706A">
        <w:rPr>
          <w:color w:val="000000"/>
          <w:kern w:val="1"/>
          <w:lang w:val="sr-Cyrl-RS" w:eastAsia="ar-SA"/>
        </w:rPr>
        <w:t xml:space="preserve">ледао </w:t>
      </w:r>
      <w:r w:rsidRPr="00BA6654">
        <w:rPr>
          <w:color w:val="000000"/>
          <w:kern w:val="1"/>
          <w:lang w:val="sr-Cyrl-RS" w:eastAsia="ar-SA"/>
        </w:rPr>
        <w:t xml:space="preserve"> и добио све неопходне информац</w:t>
      </w:r>
      <w:r w:rsidR="00CD5533">
        <w:rPr>
          <w:color w:val="000000"/>
          <w:kern w:val="1"/>
          <w:lang w:val="sr-Cyrl-RS" w:eastAsia="ar-SA"/>
        </w:rPr>
        <w:t xml:space="preserve">ије потребне за припрему понуде за </w:t>
      </w:r>
      <w:r w:rsidR="00CD5533" w:rsidRPr="00A31AD0">
        <w:rPr>
          <w:b/>
          <w:lang w:val="sr-Cyrl-CS"/>
        </w:rPr>
        <w:t>ЈН број</w:t>
      </w:r>
      <w:r w:rsidR="00CD5533" w:rsidRPr="004248F1">
        <w:rPr>
          <w:lang w:val="sr-Cyrl-CS"/>
        </w:rPr>
        <w:t xml:space="preserve"> </w:t>
      </w:r>
      <w:r w:rsidR="00CD5533" w:rsidRPr="00A31AD0">
        <w:rPr>
          <w:b/>
          <w:lang w:val="sr-Cyrl-CS"/>
        </w:rPr>
        <w:t>28/2017</w:t>
      </w:r>
      <w:r w:rsidR="00CD5533" w:rsidRPr="00D405ED">
        <w:rPr>
          <w:bCs/>
        </w:rPr>
        <w:t xml:space="preserve"> Вршење анализе оправданости измене и обима измена </w:t>
      </w:r>
      <w:r w:rsidR="00CD5533">
        <w:rPr>
          <w:bCs/>
        </w:rPr>
        <w:t>следеће пројкетне документације</w:t>
      </w:r>
      <w:r w:rsidR="00CD5533" w:rsidRPr="004248F1">
        <w:rPr>
          <w:bCs/>
        </w:rPr>
        <w:t xml:space="preserve"> Аутопут Е-763, Београд-Јужни Јадран, деоница 5: Лајковац-Љиг од км 53+138,91 до км 77+118,23; Измена Главног Пројекта Књига 3 Свеска 1; Аутопут Е-763, Београд-Јужни Јадран, деоница 5: Лајковац-Љиг од км 53+138,91 до км 77+118,23; Измена Главног Пројекта Књига 3 Свеска 2; утопут Е-763, Београд-Јужни Јадран, деоница 5: Лајковац-Љиг од км 53+138,91 до км 77+118,23; Измена Главног Пројекта Књига 3 Свеска 3.1; Аутопут Е-763, Београд-Јужни Јадран, деоница 5: , Београд-Јужни Јадран, деоница 5: Лајковац-Љиг од км 53+138,91 до км77+118,23; Измена Главног Пројекта Књига 3 Свеска 3.2</w:t>
      </w:r>
      <w:r w:rsidR="00CD5533" w:rsidRPr="004248F1">
        <w:rPr>
          <w:bCs/>
          <w:lang w:val="sr-Cyrl-RS"/>
        </w:rPr>
        <w:t>.</w:t>
      </w:r>
    </w:p>
    <w:p w14:paraId="12EB655D" w14:textId="77777777" w:rsidR="00BF086A" w:rsidRPr="00BA6654" w:rsidRDefault="00BF086A" w:rsidP="00BF086A">
      <w:pPr>
        <w:suppressAutoHyphens/>
        <w:spacing w:line="100" w:lineRule="atLeast"/>
        <w:jc w:val="both"/>
        <w:rPr>
          <w:color w:val="000000"/>
          <w:kern w:val="1"/>
          <w:lang w:val="sr-Cyrl-RS" w:eastAsia="ar-SA"/>
        </w:rPr>
      </w:pPr>
    </w:p>
    <w:p w14:paraId="6B9C5B74" w14:textId="77777777" w:rsidR="00BF086A" w:rsidRPr="00BA6654" w:rsidRDefault="00BF086A" w:rsidP="00BF086A">
      <w:pPr>
        <w:suppressAutoHyphens/>
        <w:spacing w:line="100" w:lineRule="atLeast"/>
        <w:jc w:val="both"/>
        <w:rPr>
          <w:color w:val="000000"/>
          <w:kern w:val="1"/>
          <w:lang w:val="sr-Cyrl-RS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BF086A" w:rsidRPr="00BA6654" w14:paraId="2B99A59B" w14:textId="77777777" w:rsidTr="00956A3E">
        <w:tc>
          <w:tcPr>
            <w:tcW w:w="3080" w:type="dxa"/>
            <w:shd w:val="clear" w:color="auto" w:fill="auto"/>
            <w:vAlign w:val="center"/>
          </w:tcPr>
          <w:p w14:paraId="686D5398" w14:textId="77777777" w:rsidR="00BF086A" w:rsidRPr="00BA6654" w:rsidRDefault="00BF086A" w:rsidP="00956A3E">
            <w:pPr>
              <w:suppressAutoHyphens/>
              <w:spacing w:after="120" w:line="100" w:lineRule="atLeast"/>
              <w:jc w:val="center"/>
              <w:rPr>
                <w:rFonts w:eastAsia="Arial Unicode MS"/>
                <w:color w:val="000000"/>
                <w:kern w:val="1"/>
                <w:lang w:val="en-US" w:eastAsia="ar-SA"/>
              </w:rPr>
            </w:pPr>
            <w:r w:rsidRPr="00BA6654">
              <w:rPr>
                <w:rFonts w:eastAsia="Arial Unicode MS"/>
                <w:color w:val="000000"/>
                <w:kern w:val="1"/>
                <w:lang w:val="en-US" w:eastAsia="ar-SA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452CE222" w14:textId="77777777" w:rsidR="00BF086A" w:rsidRPr="00BA6654" w:rsidRDefault="00BF086A" w:rsidP="00956A3E">
            <w:pPr>
              <w:suppressAutoHyphens/>
              <w:spacing w:after="120" w:line="100" w:lineRule="atLeast"/>
              <w:jc w:val="center"/>
              <w:rPr>
                <w:rFonts w:eastAsia="Arial Unicode MS"/>
                <w:color w:val="000000"/>
                <w:kern w:val="1"/>
                <w:lang w:val="en-US" w:eastAsia="ar-SA"/>
              </w:rPr>
            </w:pPr>
            <w:r w:rsidRPr="00BA6654">
              <w:rPr>
                <w:rFonts w:eastAsia="Arial Unicode MS"/>
                <w:color w:val="000000"/>
                <w:kern w:val="1"/>
                <w:lang w:val="en-US" w:eastAsia="ar-SA"/>
              </w:rPr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5EC0C1D" w14:textId="77777777" w:rsidR="00BF086A" w:rsidRPr="00BA6654" w:rsidRDefault="00BF086A" w:rsidP="00956A3E">
            <w:pPr>
              <w:suppressAutoHyphens/>
              <w:spacing w:after="120" w:line="100" w:lineRule="atLeast"/>
              <w:jc w:val="center"/>
              <w:rPr>
                <w:rFonts w:eastAsia="Arial Unicode MS"/>
                <w:color w:val="000000"/>
                <w:kern w:val="1"/>
                <w:lang w:val="en-US" w:eastAsia="ar-SA"/>
              </w:rPr>
            </w:pPr>
            <w:r w:rsidRPr="00BA6654">
              <w:rPr>
                <w:rFonts w:eastAsia="Arial Unicode MS"/>
                <w:bCs/>
                <w:iCs/>
                <w:color w:val="000000"/>
                <w:kern w:val="1"/>
                <w:lang w:val="sr-Cyrl-RS" w:eastAsia="ar-SA"/>
              </w:rPr>
              <w:t>Потпис</w:t>
            </w:r>
          </w:p>
        </w:tc>
      </w:tr>
      <w:tr w:rsidR="00BF086A" w:rsidRPr="00BA6654" w14:paraId="03BEF777" w14:textId="77777777" w:rsidTr="00956A3E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4072E275" w14:textId="77777777" w:rsidR="00BF086A" w:rsidRPr="00BA6654" w:rsidRDefault="00BF086A" w:rsidP="00956A3E">
            <w:pPr>
              <w:suppressAutoHyphens/>
              <w:snapToGrid w:val="0"/>
              <w:spacing w:after="120" w:line="100" w:lineRule="atLeast"/>
              <w:jc w:val="both"/>
              <w:rPr>
                <w:rFonts w:eastAsia="Arial Unicode MS"/>
                <w:color w:val="000000"/>
                <w:kern w:val="1"/>
                <w:lang w:val="en-US" w:eastAsia="ar-SA"/>
              </w:rPr>
            </w:pPr>
          </w:p>
        </w:tc>
        <w:tc>
          <w:tcPr>
            <w:tcW w:w="3068" w:type="dxa"/>
            <w:shd w:val="clear" w:color="auto" w:fill="auto"/>
          </w:tcPr>
          <w:p w14:paraId="1266705C" w14:textId="77777777" w:rsidR="00BF086A" w:rsidRPr="00BA6654" w:rsidRDefault="00BF086A" w:rsidP="00956A3E">
            <w:pPr>
              <w:suppressAutoHyphens/>
              <w:snapToGrid w:val="0"/>
              <w:spacing w:after="120" w:line="100" w:lineRule="atLeast"/>
              <w:jc w:val="both"/>
              <w:rPr>
                <w:rFonts w:eastAsia="Arial Unicode MS"/>
                <w:color w:val="000000"/>
                <w:kern w:val="1"/>
                <w:lang w:val="en-US" w:eastAsia="ar-SA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7EF12254" w14:textId="77777777" w:rsidR="00BF086A" w:rsidRPr="00BA6654" w:rsidRDefault="00BF086A" w:rsidP="00956A3E">
            <w:pPr>
              <w:suppressAutoHyphens/>
              <w:snapToGrid w:val="0"/>
              <w:spacing w:after="120" w:line="100" w:lineRule="atLeast"/>
              <w:jc w:val="both"/>
              <w:rPr>
                <w:rFonts w:eastAsia="Arial Unicode MS"/>
                <w:color w:val="000000"/>
                <w:kern w:val="1"/>
                <w:lang w:val="en-US" w:eastAsia="ar-SA"/>
              </w:rPr>
            </w:pPr>
          </w:p>
        </w:tc>
      </w:tr>
    </w:tbl>
    <w:p w14:paraId="502848F3" w14:textId="77777777" w:rsidR="00BF086A" w:rsidRPr="00BA6654" w:rsidRDefault="00BF086A" w:rsidP="00BF086A">
      <w:pPr>
        <w:suppressAutoHyphens/>
        <w:spacing w:line="100" w:lineRule="atLeast"/>
        <w:jc w:val="both"/>
        <w:rPr>
          <w:color w:val="000000"/>
          <w:kern w:val="1"/>
          <w:lang w:val="sr-Cyrl-RS" w:eastAsia="ar-SA"/>
        </w:rPr>
      </w:pPr>
    </w:p>
    <w:p w14:paraId="34837F60" w14:textId="77777777" w:rsidR="00BF086A" w:rsidRPr="00BA6654" w:rsidRDefault="00BF086A" w:rsidP="00BF086A">
      <w:pPr>
        <w:tabs>
          <w:tab w:val="left" w:pos="6028"/>
        </w:tabs>
        <w:autoSpaceDE w:val="0"/>
        <w:rPr>
          <w:bCs/>
          <w:iCs/>
          <w:lang w:val="sr-Cyrl-RS"/>
        </w:rPr>
      </w:pPr>
    </w:p>
    <w:p w14:paraId="33BA4B56" w14:textId="77777777" w:rsidR="00BF086A" w:rsidRPr="00BA6654" w:rsidRDefault="00BF086A" w:rsidP="00BF086A">
      <w:pPr>
        <w:tabs>
          <w:tab w:val="left" w:pos="6028"/>
        </w:tabs>
        <w:autoSpaceDE w:val="0"/>
        <w:ind w:left="360"/>
        <w:rPr>
          <w:bCs/>
          <w:iCs/>
          <w:lang w:val="sr-Cyrl-RS"/>
        </w:rPr>
      </w:pPr>
    </w:p>
    <w:p w14:paraId="0CE8E455" w14:textId="77777777" w:rsidR="00BF086A" w:rsidRPr="00BA6654" w:rsidRDefault="00BF086A" w:rsidP="00BF086A">
      <w:pPr>
        <w:tabs>
          <w:tab w:val="left" w:pos="6028"/>
        </w:tabs>
        <w:autoSpaceDE w:val="0"/>
        <w:ind w:left="360"/>
        <w:rPr>
          <w:bCs/>
          <w:iCs/>
          <w:lang w:val="sr-Cyrl-RS"/>
        </w:rPr>
      </w:pPr>
    </w:p>
    <w:p w14:paraId="5D8C4C4C" w14:textId="77777777" w:rsidR="00BF086A" w:rsidRPr="00BA6654" w:rsidRDefault="00BF086A" w:rsidP="00BF086A">
      <w:pPr>
        <w:tabs>
          <w:tab w:val="left" w:pos="6028"/>
        </w:tabs>
        <w:autoSpaceDE w:val="0"/>
        <w:ind w:left="360"/>
        <w:rPr>
          <w:bCs/>
          <w:iCs/>
          <w:lang w:val="sr-Cyrl-RS"/>
        </w:rPr>
      </w:pPr>
    </w:p>
    <w:p w14:paraId="6A57DB05" w14:textId="6BE70D5E" w:rsidR="00BF086A" w:rsidRPr="00BA6654" w:rsidRDefault="00BF086A" w:rsidP="00BF086A">
      <w:pPr>
        <w:tabs>
          <w:tab w:val="left" w:pos="6028"/>
        </w:tabs>
        <w:autoSpaceDE w:val="0"/>
        <w:ind w:left="360"/>
        <w:rPr>
          <w:bCs/>
          <w:iCs/>
          <w:lang w:val="sr-Cyrl-RS"/>
        </w:rPr>
      </w:pPr>
      <w:r w:rsidRPr="00BA6654">
        <w:rPr>
          <w:bCs/>
          <w:iCs/>
          <w:lang w:val="sr-Cyrl-RS"/>
        </w:rPr>
        <w:t xml:space="preserve">За Наручиоца: _______________________ </w:t>
      </w:r>
      <w:r w:rsidRPr="00BA6654">
        <w:rPr>
          <w:bCs/>
          <w:iCs/>
        </w:rPr>
        <w:t xml:space="preserve">    </w:t>
      </w:r>
    </w:p>
    <w:p w14:paraId="477A3FBC" w14:textId="77777777" w:rsidR="00BF086A" w:rsidRPr="00BA6654" w:rsidRDefault="00BF086A" w:rsidP="00BF086A">
      <w:pPr>
        <w:tabs>
          <w:tab w:val="left" w:pos="2694"/>
        </w:tabs>
        <w:autoSpaceDE w:val="0"/>
        <w:ind w:left="360"/>
        <w:rPr>
          <w:bCs/>
          <w:iCs/>
          <w:lang w:val="sr-Cyrl-RS"/>
        </w:rPr>
      </w:pPr>
      <w:r w:rsidRPr="00BA6654">
        <w:rPr>
          <w:bCs/>
          <w:iCs/>
          <w:lang w:val="sr-Cyrl-RS"/>
        </w:rPr>
        <w:tab/>
        <w:t>(п о т п и с)</w:t>
      </w:r>
    </w:p>
    <w:p w14:paraId="37EBDEDF" w14:textId="77777777" w:rsidR="00BF086A" w:rsidRPr="00BA6654" w:rsidRDefault="00BF086A" w:rsidP="00BF086A">
      <w:pPr>
        <w:tabs>
          <w:tab w:val="left" w:pos="6028"/>
        </w:tabs>
        <w:autoSpaceDE w:val="0"/>
        <w:ind w:left="360"/>
        <w:rPr>
          <w:bCs/>
          <w:iCs/>
          <w:lang w:val="sr-Cyrl-RS"/>
        </w:rPr>
      </w:pPr>
    </w:p>
    <w:p w14:paraId="6ED1E71A" w14:textId="77777777" w:rsidR="00BF086A" w:rsidRPr="00BA6654" w:rsidRDefault="00BF086A" w:rsidP="00BF086A">
      <w:pPr>
        <w:tabs>
          <w:tab w:val="left" w:pos="6028"/>
        </w:tabs>
        <w:autoSpaceDE w:val="0"/>
        <w:ind w:left="360"/>
        <w:rPr>
          <w:bCs/>
          <w:iCs/>
          <w:lang w:val="sr-Cyrl-RS"/>
        </w:rPr>
      </w:pPr>
    </w:p>
    <w:p w14:paraId="059BC556" w14:textId="77777777" w:rsidR="00BF086A" w:rsidRPr="00BA6654" w:rsidRDefault="00BF086A" w:rsidP="00BF086A">
      <w:pPr>
        <w:tabs>
          <w:tab w:val="left" w:pos="6028"/>
        </w:tabs>
        <w:autoSpaceDE w:val="0"/>
        <w:ind w:left="360"/>
        <w:rPr>
          <w:bCs/>
          <w:iCs/>
          <w:lang w:val="sr-Cyrl-RS"/>
        </w:rPr>
      </w:pPr>
    </w:p>
    <w:p w14:paraId="43EE3581" w14:textId="77777777" w:rsidR="00BF086A" w:rsidRPr="00BA6654" w:rsidRDefault="00BF086A" w:rsidP="00BF086A">
      <w:pPr>
        <w:tabs>
          <w:tab w:val="left" w:pos="6028"/>
        </w:tabs>
        <w:autoSpaceDE w:val="0"/>
        <w:jc w:val="both"/>
        <w:rPr>
          <w:bCs/>
          <w:i/>
          <w:iCs/>
          <w:lang w:val="sr-Cyrl-RS"/>
        </w:rPr>
      </w:pPr>
      <w:r w:rsidRPr="00BA6654">
        <w:rPr>
          <w:b/>
          <w:bCs/>
          <w:i/>
          <w:iCs/>
          <w:u w:val="single"/>
          <w:lang w:val="sr-Cyrl-RS"/>
        </w:rPr>
        <w:t>Напомена:</w:t>
      </w:r>
      <w:r w:rsidRPr="00BA6654">
        <w:rPr>
          <w:b/>
          <w:bCs/>
          <w:i/>
          <w:iCs/>
          <w:lang w:val="sr-Cyrl-RS"/>
        </w:rPr>
        <w:t xml:space="preserve"> </w:t>
      </w:r>
      <w:r w:rsidRPr="00BA6654">
        <w:rPr>
          <w:bCs/>
          <w:i/>
          <w:iCs/>
          <w:lang w:val="sr-Cyrl-RS"/>
        </w:rPr>
        <w:t>Обилазак локације је додатни услов који морају да испуне понуђачи како би понуда била прихватлјива. Образац потписује овлашћени птредставник понуђача односно овлашћени члан групе понуђача и предтставник Наручиоца.</w:t>
      </w:r>
    </w:p>
    <w:p w14:paraId="248777B9" w14:textId="77777777" w:rsidR="00BF086A" w:rsidRDefault="00BF086A" w:rsidP="00BF086A"/>
    <w:p w14:paraId="74F7A197" w14:textId="77777777" w:rsidR="00D41999" w:rsidRDefault="00D41999" w:rsidP="00AC7A62">
      <w:pPr>
        <w:jc w:val="both"/>
        <w:rPr>
          <w:b/>
          <w:lang w:val="sr-Cyrl-CS"/>
        </w:rPr>
      </w:pPr>
    </w:p>
    <w:p w14:paraId="5AFF1092" w14:textId="77777777" w:rsidR="00D41999" w:rsidRDefault="00D41999" w:rsidP="00AC7A62">
      <w:pPr>
        <w:jc w:val="both"/>
        <w:rPr>
          <w:b/>
          <w:lang w:val="sr-Cyrl-CS"/>
        </w:rPr>
      </w:pPr>
    </w:p>
    <w:p w14:paraId="062B8E7A" w14:textId="77777777" w:rsidR="00D41999" w:rsidRDefault="00D41999" w:rsidP="00AC7A62">
      <w:pPr>
        <w:jc w:val="both"/>
        <w:rPr>
          <w:b/>
          <w:lang w:val="sr-Cyrl-CS"/>
        </w:rPr>
      </w:pPr>
    </w:p>
    <w:sectPr w:rsidR="00D4199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65183" w14:textId="77777777" w:rsidR="008A58B0" w:rsidRDefault="008A58B0" w:rsidP="00DE589C">
      <w:r>
        <w:separator/>
      </w:r>
    </w:p>
  </w:endnote>
  <w:endnote w:type="continuationSeparator" w:id="0">
    <w:p w14:paraId="73E1EDA1" w14:textId="77777777" w:rsidR="008A58B0" w:rsidRDefault="008A58B0" w:rsidP="00DE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073DF" w14:textId="77777777" w:rsidR="00BD0F8B" w:rsidRDefault="00BD0F8B">
    <w:pPr>
      <w:pStyle w:val="Footer"/>
      <w:jc w:val="right"/>
    </w:pPr>
  </w:p>
  <w:p w14:paraId="7F4A0B79" w14:textId="77777777" w:rsidR="001C479B" w:rsidRDefault="001C4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8BE7D" w14:textId="77777777" w:rsidR="008A58B0" w:rsidRDefault="008A58B0" w:rsidP="00DE589C">
      <w:r>
        <w:separator/>
      </w:r>
    </w:p>
  </w:footnote>
  <w:footnote w:type="continuationSeparator" w:id="0">
    <w:p w14:paraId="6E0E96A4" w14:textId="77777777" w:rsidR="008A58B0" w:rsidRDefault="008A58B0" w:rsidP="00DE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2F45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53AB6"/>
    <w:multiLevelType w:val="hybridMultilevel"/>
    <w:tmpl w:val="5140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D72B4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36A81"/>
    <w:multiLevelType w:val="hybridMultilevel"/>
    <w:tmpl w:val="E92CF8BA"/>
    <w:lvl w:ilvl="0" w:tplc="7F72D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8"/>
        <w:szCs w:val="18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2"/>
    <w:rsid w:val="0000638E"/>
    <w:rsid w:val="00062DB2"/>
    <w:rsid w:val="000E5EC7"/>
    <w:rsid w:val="000F0021"/>
    <w:rsid w:val="0016306C"/>
    <w:rsid w:val="001A10AF"/>
    <w:rsid w:val="001A3561"/>
    <w:rsid w:val="001C479B"/>
    <w:rsid w:val="001C5E2C"/>
    <w:rsid w:val="00227269"/>
    <w:rsid w:val="00261895"/>
    <w:rsid w:val="002D5BFC"/>
    <w:rsid w:val="003057B7"/>
    <w:rsid w:val="00317703"/>
    <w:rsid w:val="0033652D"/>
    <w:rsid w:val="00366E70"/>
    <w:rsid w:val="003774B4"/>
    <w:rsid w:val="0039706A"/>
    <w:rsid w:val="003D7AAA"/>
    <w:rsid w:val="00411983"/>
    <w:rsid w:val="00463E16"/>
    <w:rsid w:val="00495B10"/>
    <w:rsid w:val="004A57E5"/>
    <w:rsid w:val="004B3661"/>
    <w:rsid w:val="0050330E"/>
    <w:rsid w:val="0053784E"/>
    <w:rsid w:val="00560397"/>
    <w:rsid w:val="005A66A7"/>
    <w:rsid w:val="006205E8"/>
    <w:rsid w:val="00656E9D"/>
    <w:rsid w:val="00657546"/>
    <w:rsid w:val="00664CFB"/>
    <w:rsid w:val="00700632"/>
    <w:rsid w:val="00705618"/>
    <w:rsid w:val="0071744E"/>
    <w:rsid w:val="00782DD2"/>
    <w:rsid w:val="007D5903"/>
    <w:rsid w:val="007E356B"/>
    <w:rsid w:val="00836A0B"/>
    <w:rsid w:val="0085477B"/>
    <w:rsid w:val="00866642"/>
    <w:rsid w:val="008A47C8"/>
    <w:rsid w:val="008A58B0"/>
    <w:rsid w:val="008B5AFF"/>
    <w:rsid w:val="008D0A2C"/>
    <w:rsid w:val="008E4725"/>
    <w:rsid w:val="0094285F"/>
    <w:rsid w:val="00953F24"/>
    <w:rsid w:val="009858EB"/>
    <w:rsid w:val="00987640"/>
    <w:rsid w:val="009C5749"/>
    <w:rsid w:val="009C74CF"/>
    <w:rsid w:val="009D187C"/>
    <w:rsid w:val="009F22BD"/>
    <w:rsid w:val="009F686C"/>
    <w:rsid w:val="00A05539"/>
    <w:rsid w:val="00A31AD0"/>
    <w:rsid w:val="00A31C58"/>
    <w:rsid w:val="00A832C2"/>
    <w:rsid w:val="00A86F6A"/>
    <w:rsid w:val="00AC0D89"/>
    <w:rsid w:val="00AC6BEB"/>
    <w:rsid w:val="00AC7A62"/>
    <w:rsid w:val="00B12F2B"/>
    <w:rsid w:val="00B4642A"/>
    <w:rsid w:val="00B939D8"/>
    <w:rsid w:val="00BD0F8B"/>
    <w:rsid w:val="00BD51ED"/>
    <w:rsid w:val="00BF086A"/>
    <w:rsid w:val="00BF508A"/>
    <w:rsid w:val="00C221C9"/>
    <w:rsid w:val="00C3367A"/>
    <w:rsid w:val="00C445D6"/>
    <w:rsid w:val="00C5459D"/>
    <w:rsid w:val="00C761AB"/>
    <w:rsid w:val="00C8094A"/>
    <w:rsid w:val="00C83742"/>
    <w:rsid w:val="00CA1C57"/>
    <w:rsid w:val="00CA2682"/>
    <w:rsid w:val="00CD5533"/>
    <w:rsid w:val="00CE5468"/>
    <w:rsid w:val="00D41999"/>
    <w:rsid w:val="00D6477B"/>
    <w:rsid w:val="00D8108D"/>
    <w:rsid w:val="00D87685"/>
    <w:rsid w:val="00DD6ECA"/>
    <w:rsid w:val="00DE589C"/>
    <w:rsid w:val="00E00F5E"/>
    <w:rsid w:val="00E175BB"/>
    <w:rsid w:val="00E20498"/>
    <w:rsid w:val="00E434C8"/>
    <w:rsid w:val="00E4488B"/>
    <w:rsid w:val="00EA7C34"/>
    <w:rsid w:val="00EF1B75"/>
    <w:rsid w:val="00EF5E10"/>
    <w:rsid w:val="00F053A1"/>
    <w:rsid w:val="00F445D3"/>
    <w:rsid w:val="00F77E2D"/>
    <w:rsid w:val="00F87C1D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6748"/>
  <w15:docId w15:val="{8790AA62-5C27-46BB-9790-569EBB1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">
    <w:name w:val="Body Text Indent"/>
    <w:aliases w:val="Style2 Char"/>
    <w:basedOn w:val="Normal"/>
    <w:link w:val="BodyTextIndentChar"/>
    <w:rsid w:val="0050330E"/>
    <w:pPr>
      <w:spacing w:after="120" w:line="270" w:lineRule="atLeast"/>
      <w:ind w:left="283"/>
    </w:pPr>
    <w:rPr>
      <w:sz w:val="23"/>
      <w:szCs w:val="20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50330E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9B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uiPriority w:val="99"/>
    <w:semiHidden/>
    <w:rsid w:val="001A10AF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1A10AF"/>
    <w:pPr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0AF"/>
    <w:rPr>
      <w:rFonts w:ascii="Calibri" w:eastAsia="Times New Roman" w:hAnsi="Calibri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zana.sokcanic@mgsi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Snežana Šokčanić</cp:lastModifiedBy>
  <cp:revision>26</cp:revision>
  <cp:lastPrinted>2017-02-13T11:15:00Z</cp:lastPrinted>
  <dcterms:created xsi:type="dcterms:W3CDTF">2017-08-03T08:44:00Z</dcterms:created>
  <dcterms:modified xsi:type="dcterms:W3CDTF">2017-08-03T09:41:00Z</dcterms:modified>
</cp:coreProperties>
</file>