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32F" w:rsidRPr="001A1F2C" w:rsidRDefault="001A1F2C" w:rsidP="0064332F">
      <w:pPr>
        <w:pStyle w:val="Default"/>
        <w:jc w:val="center"/>
        <w:outlineLvl w:val="0"/>
        <w:rPr>
          <w:b/>
          <w:lang w:val="en-GB"/>
        </w:rPr>
      </w:pPr>
      <w:r>
        <w:rPr>
          <w:b/>
          <w:lang w:val="en-GB"/>
        </w:rPr>
        <w:t xml:space="preserve">INVITATION FOR TENDERS </w:t>
      </w:r>
    </w:p>
    <w:p w:rsidR="0064332F" w:rsidRPr="00FD2BA8" w:rsidRDefault="0064332F" w:rsidP="0064332F">
      <w:pPr>
        <w:pStyle w:val="Default"/>
        <w:tabs>
          <w:tab w:val="left" w:pos="465"/>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815"/>
      </w:tblGrid>
      <w:tr w:rsidR="002459BF" w:rsidRPr="00FD2BA8" w:rsidTr="005824BD">
        <w:tc>
          <w:tcPr>
            <w:tcW w:w="3823" w:type="dxa"/>
          </w:tcPr>
          <w:p w:rsidR="0064332F" w:rsidRPr="00FD2BA8" w:rsidRDefault="001A1F2C" w:rsidP="00212F6F">
            <w:pPr>
              <w:pStyle w:val="Default"/>
              <w:rPr>
                <w:b/>
                <w:lang w:val="sr-Cyrl-RS"/>
              </w:rPr>
            </w:pPr>
            <w:r>
              <w:rPr>
                <w:b/>
              </w:rPr>
              <w:t xml:space="preserve">Name of the </w:t>
            </w:r>
            <w:r w:rsidR="00512F07" w:rsidRPr="001B7A6B">
              <w:rPr>
                <w:b/>
                <w:lang w:val="en-GB"/>
              </w:rPr>
              <w:t>Ordering Party</w:t>
            </w:r>
            <w:r w:rsidR="0064332F" w:rsidRPr="00FD2BA8">
              <w:rPr>
                <w:b/>
              </w:rPr>
              <w:t>:</w:t>
            </w:r>
          </w:p>
        </w:tc>
        <w:tc>
          <w:tcPr>
            <w:tcW w:w="5815" w:type="dxa"/>
          </w:tcPr>
          <w:p w:rsidR="0064332F" w:rsidRPr="002459BF" w:rsidRDefault="002459BF" w:rsidP="002459BF">
            <w:pPr>
              <w:pStyle w:val="Default"/>
              <w:jc w:val="both"/>
              <w:rPr>
                <w:lang w:val="en-GB"/>
              </w:rPr>
            </w:pPr>
            <w:bookmarkStart w:id="0" w:name="_GoBack"/>
            <w:bookmarkEnd w:id="0"/>
            <w:r>
              <w:rPr>
                <w:lang w:val="en-GB"/>
              </w:rPr>
              <w:t>Ministry of Construction, Transport and Infrastructure</w:t>
            </w:r>
          </w:p>
          <w:p w:rsidR="0064332F" w:rsidRPr="002459BF" w:rsidRDefault="0064332F" w:rsidP="00212F6F">
            <w:pPr>
              <w:pStyle w:val="Default"/>
              <w:rPr>
                <w:b/>
                <w:lang w:val="en-GB"/>
              </w:rPr>
            </w:pPr>
          </w:p>
        </w:tc>
      </w:tr>
      <w:tr w:rsidR="002459BF" w:rsidRPr="00FD2BA8" w:rsidTr="005824BD">
        <w:tc>
          <w:tcPr>
            <w:tcW w:w="3823" w:type="dxa"/>
          </w:tcPr>
          <w:p w:rsidR="0064332F" w:rsidRPr="00FD2BA8" w:rsidRDefault="00512F07" w:rsidP="00212F6F">
            <w:pPr>
              <w:pStyle w:val="Default"/>
              <w:rPr>
                <w:b/>
              </w:rPr>
            </w:pPr>
            <w:r>
              <w:rPr>
                <w:b/>
              </w:rPr>
              <w:t>A</w:t>
            </w:r>
            <w:r w:rsidR="00285344">
              <w:rPr>
                <w:b/>
              </w:rPr>
              <w:t>ddress</w:t>
            </w:r>
            <w:r>
              <w:rPr>
                <w:b/>
              </w:rPr>
              <w:t xml:space="preserve"> of the </w:t>
            </w:r>
            <w:r w:rsidRPr="001B7A6B">
              <w:rPr>
                <w:b/>
                <w:lang w:val="en-GB"/>
              </w:rPr>
              <w:t>Ordering Party</w:t>
            </w:r>
            <w:r w:rsidR="0064332F" w:rsidRPr="00FD2BA8">
              <w:rPr>
                <w:b/>
              </w:rPr>
              <w:t>:</w:t>
            </w:r>
          </w:p>
        </w:tc>
        <w:tc>
          <w:tcPr>
            <w:tcW w:w="5815" w:type="dxa"/>
          </w:tcPr>
          <w:p w:rsidR="0064332F" w:rsidRPr="002459BF" w:rsidRDefault="002459BF" w:rsidP="00212F6F">
            <w:pPr>
              <w:pStyle w:val="Default"/>
              <w:rPr>
                <w:lang w:val="en-GB"/>
              </w:rPr>
            </w:pPr>
            <w:r>
              <w:rPr>
                <w:lang w:val="en-GB"/>
              </w:rPr>
              <w:t>Belgrade</w:t>
            </w:r>
            <w:r w:rsidR="0064332F" w:rsidRPr="002459BF">
              <w:rPr>
                <w:lang w:val="en-GB"/>
              </w:rPr>
              <w:t xml:space="preserve">, </w:t>
            </w:r>
            <w:r>
              <w:rPr>
                <w:lang w:val="en-GB"/>
              </w:rPr>
              <w:t>Nemanjina street, no:</w:t>
            </w:r>
            <w:r w:rsidR="0064332F" w:rsidRPr="002459BF">
              <w:rPr>
                <w:lang w:val="en-GB"/>
              </w:rPr>
              <w:t xml:space="preserve"> 22-26</w:t>
            </w:r>
          </w:p>
          <w:p w:rsidR="0064332F" w:rsidRPr="002459BF" w:rsidRDefault="0064332F" w:rsidP="00212F6F">
            <w:pPr>
              <w:pStyle w:val="Default"/>
              <w:rPr>
                <w:b/>
                <w:lang w:val="en-GB"/>
              </w:rPr>
            </w:pPr>
          </w:p>
        </w:tc>
      </w:tr>
      <w:tr w:rsidR="002459BF" w:rsidRPr="00FD2BA8" w:rsidTr="005824BD">
        <w:tc>
          <w:tcPr>
            <w:tcW w:w="3823" w:type="dxa"/>
          </w:tcPr>
          <w:p w:rsidR="0064332F" w:rsidRPr="00FD2BA8" w:rsidRDefault="00512F07" w:rsidP="00212F6F">
            <w:pPr>
              <w:pStyle w:val="Default"/>
              <w:rPr>
                <w:b/>
              </w:rPr>
            </w:pPr>
            <w:r w:rsidRPr="001B7A6B">
              <w:rPr>
                <w:b/>
                <w:lang w:val="en-GB"/>
              </w:rPr>
              <w:t>Website of the Ordering Party</w:t>
            </w:r>
            <w:r w:rsidR="0064332F" w:rsidRPr="00FD2BA8">
              <w:rPr>
                <w:b/>
              </w:rPr>
              <w:t>:</w:t>
            </w:r>
          </w:p>
        </w:tc>
        <w:tc>
          <w:tcPr>
            <w:tcW w:w="5815" w:type="dxa"/>
          </w:tcPr>
          <w:p w:rsidR="0064332F" w:rsidRPr="002459BF" w:rsidRDefault="005824BD" w:rsidP="00212F6F">
            <w:pPr>
              <w:ind w:left="60"/>
              <w:rPr>
                <w:color w:val="000000"/>
              </w:rPr>
            </w:pPr>
            <w:hyperlink r:id="rId4" w:history="1">
              <w:r w:rsidR="0064332F" w:rsidRPr="002459BF">
                <w:rPr>
                  <w:rStyle w:val="Hyperlink"/>
                </w:rPr>
                <w:t>www.mgsi.gov.rs</w:t>
              </w:r>
            </w:hyperlink>
          </w:p>
          <w:p w:rsidR="0064332F" w:rsidRPr="002459BF" w:rsidRDefault="0064332F" w:rsidP="00212F6F">
            <w:pPr>
              <w:pStyle w:val="Default"/>
              <w:rPr>
                <w:b/>
                <w:lang w:val="en-GB"/>
              </w:rPr>
            </w:pPr>
          </w:p>
        </w:tc>
      </w:tr>
      <w:tr w:rsidR="002459BF" w:rsidRPr="00FD2BA8" w:rsidTr="005824BD">
        <w:tc>
          <w:tcPr>
            <w:tcW w:w="3823" w:type="dxa"/>
          </w:tcPr>
          <w:p w:rsidR="0064332F" w:rsidRPr="00FD2BA8" w:rsidRDefault="00285344" w:rsidP="00512F07">
            <w:pPr>
              <w:pStyle w:val="Default"/>
              <w:rPr>
                <w:b/>
              </w:rPr>
            </w:pPr>
            <w:r>
              <w:rPr>
                <w:b/>
              </w:rPr>
              <w:t xml:space="preserve">Type of the </w:t>
            </w:r>
            <w:r w:rsidR="00512F07" w:rsidRPr="001B7A6B">
              <w:rPr>
                <w:b/>
                <w:lang w:val="en-GB"/>
              </w:rPr>
              <w:t>Ordering Party</w:t>
            </w:r>
            <w:r w:rsidR="0064332F" w:rsidRPr="00FD2BA8">
              <w:rPr>
                <w:b/>
              </w:rPr>
              <w:t>:</w:t>
            </w:r>
          </w:p>
        </w:tc>
        <w:tc>
          <w:tcPr>
            <w:tcW w:w="5815" w:type="dxa"/>
          </w:tcPr>
          <w:p w:rsidR="0064332F" w:rsidRPr="002459BF" w:rsidRDefault="00512F07" w:rsidP="00212F6F">
            <w:pPr>
              <w:pStyle w:val="Default"/>
              <w:rPr>
                <w:lang w:val="en-GB"/>
              </w:rPr>
            </w:pPr>
            <w:r>
              <w:rPr>
                <w:lang w:val="en-GB"/>
              </w:rPr>
              <w:t>State Administration</w:t>
            </w:r>
            <w:r w:rsidR="002459BF">
              <w:rPr>
                <w:lang w:val="en-GB"/>
              </w:rPr>
              <w:t xml:space="preserve"> Body </w:t>
            </w:r>
          </w:p>
          <w:p w:rsidR="0064332F" w:rsidRPr="002459BF" w:rsidRDefault="0064332F" w:rsidP="00212F6F">
            <w:pPr>
              <w:pStyle w:val="Default"/>
              <w:rPr>
                <w:lang w:val="en-GB"/>
              </w:rPr>
            </w:pPr>
          </w:p>
        </w:tc>
      </w:tr>
      <w:tr w:rsidR="002459BF" w:rsidRPr="00FD2BA8" w:rsidTr="005824BD">
        <w:tc>
          <w:tcPr>
            <w:tcW w:w="3823" w:type="dxa"/>
          </w:tcPr>
          <w:p w:rsidR="0064332F" w:rsidRPr="00FD2BA8" w:rsidRDefault="00285344" w:rsidP="00285344">
            <w:pPr>
              <w:pStyle w:val="Default"/>
              <w:rPr>
                <w:b/>
              </w:rPr>
            </w:pPr>
            <w:r>
              <w:rPr>
                <w:b/>
              </w:rPr>
              <w:t xml:space="preserve">Type of </w:t>
            </w:r>
            <w:r w:rsidR="00512F07">
              <w:rPr>
                <w:b/>
              </w:rPr>
              <w:t xml:space="preserve">the </w:t>
            </w:r>
            <w:r>
              <w:rPr>
                <w:b/>
              </w:rPr>
              <w:t>public procurement procedure</w:t>
            </w:r>
            <w:r w:rsidR="0064332F" w:rsidRPr="00FD2BA8">
              <w:rPr>
                <w:b/>
              </w:rPr>
              <w:t>:</w:t>
            </w:r>
          </w:p>
        </w:tc>
        <w:tc>
          <w:tcPr>
            <w:tcW w:w="5815" w:type="dxa"/>
          </w:tcPr>
          <w:p w:rsidR="0064332F" w:rsidRPr="002459BF" w:rsidRDefault="00C67CFF" w:rsidP="00C67CFF">
            <w:pPr>
              <w:pStyle w:val="Default"/>
              <w:jc w:val="both"/>
              <w:rPr>
                <w:lang w:val="en-GB"/>
              </w:rPr>
            </w:pPr>
            <w:r>
              <w:rPr>
                <w:lang w:val="en-GB"/>
              </w:rPr>
              <w:t>P</w:t>
            </w:r>
            <w:r w:rsidR="002459BF">
              <w:rPr>
                <w:lang w:val="en-GB"/>
              </w:rPr>
              <w:t xml:space="preserve">ublic </w:t>
            </w:r>
            <w:r w:rsidR="00512F07">
              <w:rPr>
                <w:lang w:val="en-GB"/>
              </w:rPr>
              <w:t>p</w:t>
            </w:r>
            <w:r w:rsidR="002459BF">
              <w:rPr>
                <w:lang w:val="en-GB"/>
              </w:rPr>
              <w:t>rocurement</w:t>
            </w:r>
            <w:r>
              <w:rPr>
                <w:lang w:val="en-GB"/>
              </w:rPr>
              <w:t xml:space="preserve"> in an open procedure,</w:t>
            </w:r>
            <w:r w:rsidR="005823A6">
              <w:rPr>
                <w:lang w:val="en-GB"/>
              </w:rPr>
              <w:t xml:space="preserve"> </w:t>
            </w:r>
            <w:r w:rsidR="002459BF">
              <w:rPr>
                <w:lang w:val="en-GB"/>
              </w:rPr>
              <w:t>no:</w:t>
            </w:r>
            <w:r>
              <w:rPr>
                <w:lang w:val="en-GB"/>
              </w:rPr>
              <w:t xml:space="preserve"> 39</w:t>
            </w:r>
            <w:r w:rsidR="00DA311A">
              <w:rPr>
                <w:lang w:val="en-GB"/>
              </w:rPr>
              <w:t>/2018</w:t>
            </w:r>
          </w:p>
        </w:tc>
      </w:tr>
      <w:tr w:rsidR="002459BF" w:rsidRPr="00FD2BA8" w:rsidTr="005824BD">
        <w:tc>
          <w:tcPr>
            <w:tcW w:w="3823" w:type="dxa"/>
          </w:tcPr>
          <w:p w:rsidR="0064332F" w:rsidRPr="00FD2BA8" w:rsidRDefault="00285344" w:rsidP="00212F6F">
            <w:pPr>
              <w:pStyle w:val="Default"/>
              <w:rPr>
                <w:b/>
              </w:rPr>
            </w:pPr>
            <w:r>
              <w:rPr>
                <w:b/>
              </w:rPr>
              <w:t>Type of subject</w:t>
            </w:r>
            <w:r w:rsidR="0064332F" w:rsidRPr="00FD2BA8">
              <w:rPr>
                <w:b/>
              </w:rPr>
              <w:t>:</w:t>
            </w:r>
          </w:p>
        </w:tc>
        <w:tc>
          <w:tcPr>
            <w:tcW w:w="5815" w:type="dxa"/>
          </w:tcPr>
          <w:p w:rsidR="0064332F" w:rsidRPr="002459BF" w:rsidRDefault="002459BF" w:rsidP="00212F6F">
            <w:pPr>
              <w:pStyle w:val="Default"/>
              <w:rPr>
                <w:lang w:val="en-GB"/>
              </w:rPr>
            </w:pPr>
            <w:r w:rsidRPr="002459BF">
              <w:rPr>
                <w:lang w:val="en-GB"/>
              </w:rPr>
              <w:t>Services</w:t>
            </w:r>
          </w:p>
          <w:p w:rsidR="0064332F" w:rsidRPr="002459BF" w:rsidRDefault="0064332F" w:rsidP="00212F6F">
            <w:pPr>
              <w:pStyle w:val="Default"/>
              <w:rPr>
                <w:lang w:val="en-GB"/>
              </w:rPr>
            </w:pPr>
          </w:p>
        </w:tc>
      </w:tr>
      <w:tr w:rsidR="002459BF" w:rsidRPr="00FD2BA8" w:rsidTr="005824BD">
        <w:tc>
          <w:tcPr>
            <w:tcW w:w="3823" w:type="dxa"/>
          </w:tcPr>
          <w:p w:rsidR="0064332F" w:rsidRPr="00FD2BA8" w:rsidRDefault="00285344" w:rsidP="00512F07">
            <w:pPr>
              <w:pStyle w:val="Default"/>
              <w:rPr>
                <w:b/>
                <w:lang w:val="ru-RU"/>
              </w:rPr>
            </w:pPr>
            <w:r>
              <w:rPr>
                <w:b/>
              </w:rPr>
              <w:t xml:space="preserve">Description of the </w:t>
            </w:r>
            <w:r w:rsidR="007D2E4A">
              <w:rPr>
                <w:b/>
              </w:rPr>
              <w:t>p</w:t>
            </w:r>
            <w:r>
              <w:rPr>
                <w:b/>
              </w:rPr>
              <w:t>rocurement,</w:t>
            </w:r>
            <w:r w:rsidR="00512F07">
              <w:rPr>
                <w:b/>
              </w:rPr>
              <w:t xml:space="preserve"> name and designation from the g</w:t>
            </w:r>
            <w:r w:rsidR="002459BF">
              <w:rPr>
                <w:b/>
              </w:rPr>
              <w:t xml:space="preserve">eneral </w:t>
            </w:r>
            <w:r w:rsidR="00512F07" w:rsidRPr="001A5D39">
              <w:rPr>
                <w:b/>
                <w:bCs/>
                <w:lang w:val="en-GB"/>
              </w:rPr>
              <w:t xml:space="preserve">procurement </w:t>
            </w:r>
            <w:r w:rsidR="00512F07">
              <w:rPr>
                <w:b/>
                <w:bCs/>
                <w:lang w:val="en-GB"/>
              </w:rPr>
              <w:t>glossary</w:t>
            </w:r>
            <w:r w:rsidR="0064332F" w:rsidRPr="00FD2BA8">
              <w:rPr>
                <w:b/>
                <w:lang w:val="ru-RU"/>
              </w:rPr>
              <w:t>:</w:t>
            </w:r>
          </w:p>
        </w:tc>
        <w:tc>
          <w:tcPr>
            <w:tcW w:w="5815" w:type="dxa"/>
          </w:tcPr>
          <w:p w:rsidR="00484238" w:rsidRDefault="00484238" w:rsidP="00484238">
            <w:pPr>
              <w:jc w:val="both"/>
              <w:rPr>
                <w:b/>
                <w:bCs/>
                <w:color w:val="000000"/>
              </w:rPr>
            </w:pPr>
            <w:r>
              <w:rPr>
                <w:color w:val="000000"/>
              </w:rPr>
              <w:t>Description of the public procurement: Procurement of Supervision services who shall supervise the works on construction of the Belgrade Bypass on the Highway E70/E75 section: Bridge over Sava river near Ostruznica – Bubanj Potok (Sectors 4, 5 and 6)</w:t>
            </w:r>
            <w:r w:rsidR="00DA311A">
              <w:rPr>
                <w:color w:val="000000"/>
              </w:rPr>
              <w:t>.</w:t>
            </w:r>
            <w:r w:rsidR="0064332F" w:rsidRPr="002459BF">
              <w:rPr>
                <w:b/>
                <w:bCs/>
                <w:color w:val="000000"/>
              </w:rPr>
              <w:t xml:space="preserve"> </w:t>
            </w:r>
          </w:p>
          <w:p w:rsidR="0064332F" w:rsidRPr="007619A5" w:rsidRDefault="002459BF" w:rsidP="00484238">
            <w:pPr>
              <w:jc w:val="both"/>
              <w:rPr>
                <w:b/>
                <w:bCs/>
                <w:color w:val="FF0000"/>
              </w:rPr>
            </w:pPr>
            <w:r>
              <w:rPr>
                <w:bCs/>
                <w:color w:val="000000"/>
              </w:rPr>
              <w:t>Name and designa</w:t>
            </w:r>
            <w:r w:rsidR="004C5479">
              <w:rPr>
                <w:bCs/>
                <w:color w:val="000000"/>
              </w:rPr>
              <w:t>tion from the g</w:t>
            </w:r>
            <w:r>
              <w:rPr>
                <w:bCs/>
                <w:color w:val="000000"/>
              </w:rPr>
              <w:t>eneral</w:t>
            </w:r>
            <w:r w:rsidR="004C5479">
              <w:rPr>
                <w:bCs/>
                <w:color w:val="000000"/>
              </w:rPr>
              <w:t xml:space="preserve"> procurement</w:t>
            </w:r>
            <w:r>
              <w:rPr>
                <w:bCs/>
                <w:color w:val="000000"/>
              </w:rPr>
              <w:t xml:space="preserve"> </w:t>
            </w:r>
            <w:r w:rsidR="004C5479">
              <w:rPr>
                <w:bCs/>
                <w:color w:val="000000"/>
              </w:rPr>
              <w:t>g</w:t>
            </w:r>
            <w:r>
              <w:rPr>
                <w:bCs/>
                <w:color w:val="000000"/>
              </w:rPr>
              <w:t>lossary</w:t>
            </w:r>
            <w:r w:rsidR="0064332F" w:rsidRPr="002459BF">
              <w:rPr>
                <w:color w:val="000000"/>
              </w:rPr>
              <w:t>:</w:t>
            </w:r>
            <w:r w:rsidR="0064332F" w:rsidRPr="002459BF">
              <w:rPr>
                <w:rFonts w:eastAsia="MS Mincho"/>
                <w:bCs/>
              </w:rPr>
              <w:t xml:space="preserve"> </w:t>
            </w:r>
            <w:r w:rsidR="00484238">
              <w:t>Supervision of Design and documentation – 71248000.</w:t>
            </w:r>
          </w:p>
        </w:tc>
      </w:tr>
    </w:tbl>
    <w:p w:rsidR="0064332F" w:rsidRPr="00FD2BA8" w:rsidRDefault="0064332F" w:rsidP="0064332F">
      <w:pPr>
        <w:pStyle w:val="Default"/>
        <w:tabs>
          <w:tab w:val="left" w:pos="240"/>
        </w:tabs>
        <w:rPr>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815"/>
      </w:tblGrid>
      <w:tr w:rsidR="008732F0" w:rsidRPr="00285344" w:rsidTr="005824BD">
        <w:trPr>
          <w:trHeight w:val="138"/>
        </w:trPr>
        <w:tc>
          <w:tcPr>
            <w:tcW w:w="3823" w:type="dxa"/>
          </w:tcPr>
          <w:p w:rsidR="0064332F" w:rsidRPr="00285344" w:rsidRDefault="00285344" w:rsidP="00285344">
            <w:pPr>
              <w:pStyle w:val="Default"/>
              <w:rPr>
                <w:b/>
                <w:lang w:val="en-GB"/>
              </w:rPr>
            </w:pPr>
            <w:r>
              <w:rPr>
                <w:b/>
                <w:lang w:val="en-GB"/>
              </w:rPr>
              <w:t>Tender award criteria</w:t>
            </w:r>
            <w:r w:rsidR="0064332F" w:rsidRPr="00285344">
              <w:rPr>
                <w:b/>
                <w:lang w:val="en-GB"/>
              </w:rPr>
              <w:t>:</w:t>
            </w:r>
          </w:p>
        </w:tc>
        <w:tc>
          <w:tcPr>
            <w:tcW w:w="5815" w:type="dxa"/>
          </w:tcPr>
          <w:p w:rsidR="0064332F" w:rsidRPr="00285344" w:rsidRDefault="00484238" w:rsidP="004C5479">
            <w:pPr>
              <w:spacing w:line="270" w:lineRule="atLeast"/>
              <w:jc w:val="both"/>
            </w:pPr>
            <w:r>
              <w:t>Lowest offered price</w:t>
            </w:r>
            <w:r w:rsidR="007D2E4A">
              <w:t>.</w:t>
            </w:r>
          </w:p>
        </w:tc>
      </w:tr>
      <w:tr w:rsidR="008732F0" w:rsidRPr="00285344" w:rsidTr="005824BD">
        <w:trPr>
          <w:trHeight w:val="138"/>
        </w:trPr>
        <w:tc>
          <w:tcPr>
            <w:tcW w:w="3823" w:type="dxa"/>
          </w:tcPr>
          <w:p w:rsidR="0064332F" w:rsidRPr="00285344" w:rsidRDefault="007D2E4A" w:rsidP="004C5479">
            <w:pPr>
              <w:pStyle w:val="Default"/>
              <w:jc w:val="both"/>
              <w:rPr>
                <w:b/>
                <w:lang w:val="en-GB"/>
              </w:rPr>
            </w:pPr>
            <w:r>
              <w:rPr>
                <w:b/>
                <w:lang w:val="en-GB"/>
              </w:rPr>
              <w:t>Manner to obtain the t</w:t>
            </w:r>
            <w:r w:rsidR="002459BF">
              <w:rPr>
                <w:b/>
                <w:lang w:val="en-GB"/>
              </w:rPr>
              <w:t xml:space="preserve">ender documents, i.e. </w:t>
            </w:r>
            <w:r w:rsidR="004C5479">
              <w:rPr>
                <w:b/>
                <w:lang w:val="en-GB"/>
              </w:rPr>
              <w:t>internet address</w:t>
            </w:r>
            <w:r w:rsidR="002459BF">
              <w:rPr>
                <w:b/>
                <w:lang w:val="en-GB"/>
              </w:rPr>
              <w:t xml:space="preserve"> on which the </w:t>
            </w:r>
            <w:r>
              <w:rPr>
                <w:b/>
                <w:lang w:val="en-GB"/>
              </w:rPr>
              <w:t>t</w:t>
            </w:r>
            <w:r w:rsidR="002459BF">
              <w:rPr>
                <w:b/>
                <w:lang w:val="en-GB"/>
              </w:rPr>
              <w:t>ender documents are available</w:t>
            </w:r>
            <w:r w:rsidR="0064332F" w:rsidRPr="00285344">
              <w:rPr>
                <w:b/>
                <w:lang w:val="en-GB"/>
              </w:rPr>
              <w:t>:</w:t>
            </w:r>
          </w:p>
        </w:tc>
        <w:tc>
          <w:tcPr>
            <w:tcW w:w="5815" w:type="dxa"/>
          </w:tcPr>
          <w:p w:rsidR="0064332F" w:rsidRPr="00285344" w:rsidRDefault="002459BF" w:rsidP="00212F6F">
            <w:pPr>
              <w:pStyle w:val="NoSpacing"/>
              <w:jc w:val="both"/>
              <w:rPr>
                <w:rFonts w:ascii="Times New Roman" w:hAnsi="Times New Roman"/>
                <w:sz w:val="24"/>
                <w:szCs w:val="24"/>
                <w:lang w:val="en-GB"/>
              </w:rPr>
            </w:pPr>
            <w:r>
              <w:rPr>
                <w:rFonts w:ascii="Times New Roman" w:hAnsi="Times New Roman"/>
                <w:sz w:val="24"/>
                <w:szCs w:val="24"/>
                <w:lang w:val="en-GB"/>
              </w:rPr>
              <w:t>T</w:t>
            </w:r>
            <w:r w:rsidR="007D2E4A">
              <w:rPr>
                <w:rFonts w:ascii="Times New Roman" w:hAnsi="Times New Roman"/>
                <w:sz w:val="24"/>
                <w:szCs w:val="24"/>
                <w:lang w:val="en-GB"/>
              </w:rPr>
              <w:t>he t</w:t>
            </w:r>
            <w:r>
              <w:rPr>
                <w:rFonts w:ascii="Times New Roman" w:hAnsi="Times New Roman"/>
                <w:sz w:val="24"/>
                <w:szCs w:val="24"/>
                <w:lang w:val="en-GB"/>
              </w:rPr>
              <w:t>ender documents shall be downloaded from the Public Procurement Office’s Portal</w:t>
            </w:r>
            <w:r w:rsidR="0064332F" w:rsidRPr="00285344">
              <w:rPr>
                <w:rFonts w:ascii="Times New Roman" w:hAnsi="Times New Roman"/>
                <w:sz w:val="24"/>
                <w:szCs w:val="24"/>
                <w:lang w:val="en-GB"/>
              </w:rPr>
              <w:t xml:space="preserve">: </w:t>
            </w:r>
            <w:hyperlink r:id="rId5" w:history="1">
              <w:r w:rsidR="0064332F" w:rsidRPr="00285344">
                <w:rPr>
                  <w:rFonts w:ascii="Times New Roman" w:hAnsi="Times New Roman"/>
                  <w:color w:val="0000FF"/>
                  <w:sz w:val="24"/>
                  <w:szCs w:val="24"/>
                  <w:u w:val="single"/>
                  <w:lang w:val="en-GB"/>
                </w:rPr>
                <w:t>portal.ujn.gov.rs</w:t>
              </w:r>
            </w:hyperlink>
            <w:r>
              <w:rPr>
                <w:rFonts w:ascii="Times New Roman" w:hAnsi="Times New Roman"/>
                <w:sz w:val="24"/>
                <w:szCs w:val="24"/>
                <w:lang w:val="en-GB"/>
              </w:rPr>
              <w:t xml:space="preserve">, or at the </w:t>
            </w:r>
            <w:r w:rsidR="004C5479">
              <w:rPr>
                <w:rFonts w:ascii="Times New Roman" w:hAnsi="Times New Roman"/>
                <w:sz w:val="24"/>
                <w:szCs w:val="24"/>
                <w:lang w:val="en-GB"/>
              </w:rPr>
              <w:t>website of the Ordering Party</w:t>
            </w:r>
            <w:r>
              <w:rPr>
                <w:rFonts w:ascii="Times New Roman" w:hAnsi="Times New Roman"/>
                <w:sz w:val="24"/>
                <w:szCs w:val="24"/>
                <w:lang w:val="en-GB"/>
              </w:rPr>
              <w:t>:</w:t>
            </w:r>
            <w:r w:rsidR="0064332F" w:rsidRPr="00285344">
              <w:rPr>
                <w:rFonts w:ascii="Times New Roman" w:hAnsi="Times New Roman"/>
                <w:sz w:val="24"/>
                <w:szCs w:val="24"/>
                <w:lang w:val="en-GB"/>
              </w:rPr>
              <w:t xml:space="preserve"> </w:t>
            </w:r>
            <w:hyperlink r:id="rId6" w:history="1">
              <w:r w:rsidR="0064332F" w:rsidRPr="00285344">
                <w:rPr>
                  <w:rStyle w:val="Hyperlink"/>
                  <w:rFonts w:ascii="Times New Roman" w:hAnsi="Times New Roman"/>
                  <w:sz w:val="24"/>
                  <w:szCs w:val="24"/>
                  <w:lang w:val="en-GB"/>
                </w:rPr>
                <w:t>www.mgsi.gov.rs</w:t>
              </w:r>
            </w:hyperlink>
            <w:r w:rsidR="0064332F" w:rsidRPr="00285344">
              <w:rPr>
                <w:rFonts w:ascii="Times New Roman" w:hAnsi="Times New Roman"/>
                <w:sz w:val="24"/>
                <w:szCs w:val="24"/>
                <w:lang w:val="en-GB"/>
              </w:rPr>
              <w:t>.</w:t>
            </w:r>
          </w:p>
          <w:p w:rsidR="0064332F" w:rsidRPr="00285344" w:rsidRDefault="0064332F" w:rsidP="00212F6F">
            <w:pPr>
              <w:ind w:left="60"/>
              <w:jc w:val="both"/>
            </w:pPr>
          </w:p>
        </w:tc>
      </w:tr>
      <w:tr w:rsidR="008732F0" w:rsidRPr="00285344" w:rsidTr="005824BD">
        <w:trPr>
          <w:trHeight w:val="138"/>
        </w:trPr>
        <w:tc>
          <w:tcPr>
            <w:tcW w:w="3823" w:type="dxa"/>
          </w:tcPr>
          <w:p w:rsidR="0064332F" w:rsidRPr="00285344" w:rsidRDefault="00002737" w:rsidP="004C5479">
            <w:pPr>
              <w:pStyle w:val="Default"/>
              <w:rPr>
                <w:b/>
                <w:lang w:val="en-GB"/>
              </w:rPr>
            </w:pPr>
            <w:r>
              <w:rPr>
                <w:b/>
                <w:lang w:val="en-GB"/>
              </w:rPr>
              <w:t xml:space="preserve">Manner </w:t>
            </w:r>
            <w:r w:rsidR="007D2E4A">
              <w:rPr>
                <w:b/>
                <w:lang w:val="en-GB"/>
              </w:rPr>
              <w:t>and deadline for submission of t</w:t>
            </w:r>
            <w:r>
              <w:rPr>
                <w:b/>
                <w:lang w:val="en-GB"/>
              </w:rPr>
              <w:t>enders</w:t>
            </w:r>
            <w:r w:rsidR="0064332F" w:rsidRPr="00285344">
              <w:rPr>
                <w:b/>
                <w:lang w:val="en-GB"/>
              </w:rPr>
              <w:t>:</w:t>
            </w:r>
          </w:p>
        </w:tc>
        <w:tc>
          <w:tcPr>
            <w:tcW w:w="5815" w:type="dxa"/>
          </w:tcPr>
          <w:p w:rsidR="00E0282A" w:rsidRDefault="00E0282A" w:rsidP="005824BD">
            <w:pPr>
              <w:ind w:right="72"/>
              <w:jc w:val="both"/>
            </w:pPr>
            <w:r>
              <w:rPr>
                <w:rFonts w:eastAsia="Arial"/>
                <w:color w:val="000000"/>
              </w:rPr>
              <w:t xml:space="preserve">The tenderer shall submit the tender directly or by post, in sealed envelope or box, sealed in such a manner that during the tender opening it shall be </w:t>
            </w:r>
            <w:r w:rsidRPr="001B7A6B">
              <w:rPr>
                <w:rFonts w:eastAsia="Arial"/>
                <w:color w:val="000000"/>
              </w:rPr>
              <w:t>ascertained that it is opened for the first time</w:t>
            </w:r>
            <w:r>
              <w:t>.</w:t>
            </w:r>
          </w:p>
          <w:p w:rsidR="00E0282A" w:rsidRDefault="00E0282A" w:rsidP="005824BD">
            <w:pPr>
              <w:ind w:right="72"/>
              <w:jc w:val="both"/>
              <w:rPr>
                <w:rFonts w:eastAsia="Arial"/>
                <w:color w:val="000000"/>
              </w:rPr>
            </w:pPr>
            <w:r>
              <w:rPr>
                <w:rFonts w:eastAsia="Arial"/>
                <w:color w:val="000000"/>
              </w:rPr>
              <w:t>The back side of the envelope or the box should indicate the name and the address of the tenderer.</w:t>
            </w:r>
          </w:p>
          <w:p w:rsidR="00E0282A" w:rsidRDefault="00E0282A" w:rsidP="005824BD">
            <w:pPr>
              <w:ind w:right="72"/>
              <w:jc w:val="both"/>
              <w:rPr>
                <w:rFonts w:eastAsia="Arial"/>
                <w:color w:val="000000"/>
              </w:rPr>
            </w:pPr>
            <w:r>
              <w:rPr>
                <w:rFonts w:eastAsia="Arial"/>
                <w:color w:val="000000"/>
              </w:rPr>
              <w:t>In case the tender is submitted by a group of tenderers, it shall be necessary to indicate on the envelope</w:t>
            </w:r>
            <w:r w:rsidR="001750D6">
              <w:rPr>
                <w:rFonts w:eastAsia="Arial"/>
                <w:color w:val="000000"/>
              </w:rPr>
              <w:t xml:space="preserve"> or box</w:t>
            </w:r>
            <w:r>
              <w:rPr>
                <w:rFonts w:eastAsia="Arial"/>
                <w:color w:val="000000"/>
              </w:rPr>
              <w:t xml:space="preserve"> that the tender is submitted by a group of tenderers, and the names and addresses of all participants in the joint tender shall be also indicated.</w:t>
            </w:r>
          </w:p>
          <w:p w:rsidR="00E0282A" w:rsidRDefault="00E0282A" w:rsidP="005824BD">
            <w:pPr>
              <w:ind w:right="72"/>
              <w:jc w:val="both"/>
              <w:rPr>
                <w:rFonts w:eastAsia="Arial"/>
                <w:b/>
                <w:color w:val="000000"/>
              </w:rPr>
            </w:pPr>
            <w:r>
              <w:rPr>
                <w:rFonts w:eastAsia="Arial"/>
                <w:color w:val="000000"/>
              </w:rPr>
              <w:t>The tender shall be submitted through the Registry of the Administration for Joint Services of the Republic Bodies, to the following address: Ministry of Construction, Transport and Infrastructure, Nemanjina 22-26, Belgrade, marked as follows: “</w:t>
            </w:r>
            <w:r w:rsidRPr="00646BF2">
              <w:rPr>
                <w:rFonts w:eastAsia="Arial"/>
                <w:b/>
                <w:color w:val="000000"/>
              </w:rPr>
              <w:t>Tender for public procurement</w:t>
            </w:r>
            <w:r>
              <w:rPr>
                <w:rFonts w:eastAsia="Arial"/>
                <w:b/>
                <w:color w:val="000000"/>
              </w:rPr>
              <w:t xml:space="preserve">, PC no: 39/2018 - </w:t>
            </w:r>
            <w:r w:rsidRPr="00E0282A">
              <w:rPr>
                <w:b/>
                <w:color w:val="000000"/>
              </w:rPr>
              <w:t xml:space="preserve">Procurement of Supervision services who shall supervise the works on construction of the Belgrade Bypass on the Highway E70/E75 section: </w:t>
            </w:r>
            <w:r w:rsidRPr="00E0282A">
              <w:rPr>
                <w:b/>
                <w:color w:val="000000"/>
              </w:rPr>
              <w:lastRenderedPageBreak/>
              <w:t>Bridge over Sava river near Ostruznica – Bubanj Potok (Sectors 4, 5 and 6)</w:t>
            </w:r>
            <w:r w:rsidR="001F274E">
              <w:rPr>
                <w:b/>
                <w:color w:val="000000"/>
              </w:rPr>
              <w:t xml:space="preserve"> -</w:t>
            </w:r>
            <w:r w:rsidR="005824BD">
              <w:rPr>
                <w:b/>
                <w:color w:val="000000"/>
              </w:rPr>
              <w:t xml:space="preserve"> </w:t>
            </w:r>
            <w:r w:rsidR="001F274E" w:rsidRPr="001B7A6B">
              <w:rPr>
                <w:rFonts w:eastAsia="Arial"/>
                <w:b/>
                <w:color w:val="000000"/>
              </w:rPr>
              <w:t>DO NOT OPEN</w:t>
            </w:r>
            <w:r>
              <w:rPr>
                <w:b/>
                <w:color w:val="000000"/>
              </w:rPr>
              <w:t>”</w:t>
            </w:r>
            <w:r w:rsidRPr="00E0282A">
              <w:rPr>
                <w:b/>
                <w:color w:val="000000"/>
              </w:rPr>
              <w:t>.</w:t>
            </w:r>
            <w:r w:rsidRPr="002459BF">
              <w:rPr>
                <w:b/>
                <w:bCs/>
                <w:color w:val="000000"/>
              </w:rPr>
              <w:t xml:space="preserve"> </w:t>
            </w:r>
            <w:r>
              <w:rPr>
                <w:rFonts w:eastAsia="Arial"/>
                <w:b/>
                <w:color w:val="000000"/>
              </w:rPr>
              <w:t xml:space="preserve"> </w:t>
            </w:r>
          </w:p>
          <w:p w:rsidR="001750D6" w:rsidRPr="00285344" w:rsidRDefault="001750D6" w:rsidP="005824BD">
            <w:pPr>
              <w:ind w:right="72"/>
              <w:jc w:val="both"/>
              <w:rPr>
                <w:rFonts w:eastAsia="Arial"/>
                <w:color w:val="000000"/>
              </w:rPr>
            </w:pPr>
            <w:r>
              <w:rPr>
                <w:rFonts w:eastAsia="Arial"/>
                <w:color w:val="000000"/>
              </w:rPr>
              <w:t xml:space="preserve">Following the receipt of each tender, the Ordering Party shall mark the time of receipt on the envelope or the box, and record the number and date of the tender </w:t>
            </w:r>
            <w:r w:rsidR="001F274E" w:rsidRPr="001B7A6B">
              <w:rPr>
                <w:rFonts w:eastAsia="Arial"/>
                <w:color w:val="000000"/>
              </w:rPr>
              <w:t>according to the order of arrival</w:t>
            </w:r>
            <w:r>
              <w:rPr>
                <w:rFonts w:eastAsia="Arial"/>
                <w:color w:val="000000"/>
              </w:rPr>
              <w:t xml:space="preserve">. If the tender is submitted directly, the Ordering Party shall issue a confirmation of receipt to the tenderer. In the </w:t>
            </w:r>
            <w:r w:rsidR="000923C3">
              <w:rPr>
                <w:rFonts w:eastAsia="Arial"/>
                <w:color w:val="000000"/>
              </w:rPr>
              <w:t xml:space="preserve">said </w:t>
            </w:r>
            <w:r>
              <w:rPr>
                <w:rFonts w:eastAsia="Arial"/>
                <w:color w:val="000000"/>
              </w:rPr>
              <w:t>confirmation of receipt, the Ordering Party shall indicate the date and the hour of the received tender</w:t>
            </w:r>
            <w:r w:rsidRPr="00285344">
              <w:rPr>
                <w:rFonts w:eastAsia="Arial"/>
                <w:color w:val="000000"/>
              </w:rPr>
              <w:t xml:space="preserve">.  </w:t>
            </w:r>
          </w:p>
          <w:p w:rsidR="001750D6" w:rsidRPr="00285344" w:rsidRDefault="001750D6" w:rsidP="005824BD">
            <w:pPr>
              <w:ind w:right="72"/>
              <w:jc w:val="both"/>
              <w:rPr>
                <w:rFonts w:eastAsia="Arial"/>
                <w:color w:val="000000"/>
              </w:rPr>
            </w:pPr>
            <w:r>
              <w:rPr>
                <w:rFonts w:eastAsia="Arial"/>
                <w:color w:val="000000"/>
              </w:rPr>
              <w:t>The tender which the Ordering Party did not receive within the set deadline for submission of tenders, i.e. which is received after the expiry of the set date and hour, shall be considered as untimely</w:t>
            </w:r>
            <w:r w:rsidRPr="00285344">
              <w:rPr>
                <w:rFonts w:eastAsia="Arial"/>
                <w:color w:val="000000"/>
              </w:rPr>
              <w:t xml:space="preserve">. </w:t>
            </w:r>
          </w:p>
          <w:p w:rsidR="001750D6" w:rsidRPr="00285344" w:rsidRDefault="001750D6" w:rsidP="005824BD">
            <w:pPr>
              <w:pStyle w:val="Default"/>
              <w:jc w:val="both"/>
              <w:rPr>
                <w:color w:val="auto"/>
                <w:lang w:val="en-GB"/>
              </w:rPr>
            </w:pPr>
          </w:p>
          <w:p w:rsidR="001750D6" w:rsidRPr="00285344" w:rsidRDefault="001750D6" w:rsidP="001750D6">
            <w:pPr>
              <w:jc w:val="both"/>
              <w:rPr>
                <w:b/>
              </w:rPr>
            </w:pPr>
            <w:r w:rsidRPr="001750D6">
              <w:rPr>
                <w:b/>
                <w:u w:val="single"/>
              </w:rPr>
              <w:t xml:space="preserve">The deadline for submission of tenders expires on </w:t>
            </w:r>
            <w:r w:rsidR="005824BD" w:rsidRPr="005824BD">
              <w:rPr>
                <w:b/>
                <w:u w:val="single"/>
              </w:rPr>
              <w:t>22.11</w:t>
            </w:r>
            <w:r w:rsidRPr="005824BD">
              <w:rPr>
                <w:b/>
                <w:u w:val="single"/>
              </w:rPr>
              <w:t>.2018 at 12.00</w:t>
            </w:r>
            <w:r w:rsidRPr="005824BD">
              <w:t>.</w:t>
            </w:r>
            <w:r w:rsidRPr="00285344">
              <w:t xml:space="preserve"> </w:t>
            </w:r>
            <w:r>
              <w:t xml:space="preserve"> </w:t>
            </w:r>
          </w:p>
          <w:p w:rsidR="001750D6" w:rsidRPr="00285344" w:rsidRDefault="001750D6" w:rsidP="001750D6">
            <w:pPr>
              <w:jc w:val="both"/>
              <w:rPr>
                <w:b/>
              </w:rPr>
            </w:pPr>
          </w:p>
          <w:p w:rsidR="0064332F" w:rsidRPr="001750D6" w:rsidRDefault="001750D6" w:rsidP="001750D6">
            <w:pPr>
              <w:jc w:val="both"/>
            </w:pPr>
            <w:r>
              <w:t xml:space="preserve">The tender which has not been received by the </w:t>
            </w:r>
            <w:r>
              <w:rPr>
                <w:rFonts w:eastAsia="Arial"/>
                <w:color w:val="000000"/>
              </w:rPr>
              <w:t xml:space="preserve">Ordering Party </w:t>
            </w:r>
            <w:r>
              <w:t xml:space="preserve">until the specified date and hour shall be deemed untimely. After the completion of the </w:t>
            </w:r>
            <w:r w:rsidR="000923C3">
              <w:t xml:space="preserve">public </w:t>
            </w:r>
            <w:r>
              <w:t xml:space="preserve">opening procedure, the </w:t>
            </w:r>
            <w:r w:rsidR="000923C3">
              <w:rPr>
                <w:rFonts w:eastAsia="Arial"/>
                <w:color w:val="000000"/>
              </w:rPr>
              <w:t xml:space="preserve">Ordering Party </w:t>
            </w:r>
            <w:r>
              <w:t>shall return to the tenderers, unopened, all untimely submitted tenders, noting that the tenders were not submitted on time. The tenderer may submit only one tender</w:t>
            </w:r>
            <w:r w:rsidR="0074362C">
              <w:t xml:space="preserve">.    </w:t>
            </w:r>
            <w:r w:rsidR="000923C3">
              <w:t xml:space="preserve"> </w:t>
            </w:r>
          </w:p>
        </w:tc>
      </w:tr>
      <w:tr w:rsidR="008732F0" w:rsidRPr="00285344" w:rsidTr="005824BD">
        <w:trPr>
          <w:trHeight w:val="983"/>
        </w:trPr>
        <w:tc>
          <w:tcPr>
            <w:tcW w:w="3823" w:type="dxa"/>
          </w:tcPr>
          <w:p w:rsidR="0064332F" w:rsidRPr="00285344" w:rsidRDefault="005D3155" w:rsidP="0047557E">
            <w:pPr>
              <w:pStyle w:val="Default"/>
              <w:rPr>
                <w:b/>
                <w:lang w:val="en-GB"/>
              </w:rPr>
            </w:pPr>
            <w:r>
              <w:rPr>
                <w:b/>
                <w:lang w:val="en-GB"/>
              </w:rPr>
              <w:lastRenderedPageBreak/>
              <w:t>Venue, time and manner of t</w:t>
            </w:r>
            <w:r w:rsidR="0047557E">
              <w:rPr>
                <w:b/>
                <w:lang w:val="en-GB"/>
              </w:rPr>
              <w:t xml:space="preserve">ender opening: </w:t>
            </w:r>
          </w:p>
        </w:tc>
        <w:tc>
          <w:tcPr>
            <w:tcW w:w="5815" w:type="dxa"/>
          </w:tcPr>
          <w:p w:rsidR="0064332F" w:rsidRDefault="003A1E5A" w:rsidP="005824BD">
            <w:pPr>
              <w:widowControl w:val="0"/>
              <w:ind w:left="20"/>
              <w:jc w:val="both"/>
              <w:rPr>
                <w:b/>
                <w:lang w:eastAsia="sr-Cyrl-CS"/>
              </w:rPr>
            </w:pPr>
            <w:r>
              <w:rPr>
                <w:rStyle w:val="Bodytext"/>
                <w:lang w:eastAsia="sr-Cyrl-CS"/>
              </w:rPr>
              <w:t>The t</w:t>
            </w:r>
            <w:r w:rsidR="0047557E">
              <w:rPr>
                <w:rStyle w:val="Bodytext"/>
                <w:lang w:eastAsia="sr-Cyrl-CS"/>
              </w:rPr>
              <w:t>ender opening shall be held publicly, following the expiry of the deadline for sub</w:t>
            </w:r>
            <w:r>
              <w:rPr>
                <w:rStyle w:val="Bodytext"/>
                <w:lang w:eastAsia="sr-Cyrl-CS"/>
              </w:rPr>
              <w:t>mission of t</w:t>
            </w:r>
            <w:r w:rsidR="0047557E">
              <w:rPr>
                <w:rStyle w:val="Bodytext"/>
                <w:lang w:eastAsia="sr-Cyrl-CS"/>
              </w:rPr>
              <w:t>enders</w:t>
            </w:r>
            <w:r>
              <w:rPr>
                <w:rStyle w:val="Bodytext"/>
                <w:lang w:eastAsia="sr-Cyrl-CS"/>
              </w:rPr>
              <w:t xml:space="preserve">, on </w:t>
            </w:r>
            <w:r w:rsidR="005824BD" w:rsidRPr="005824BD">
              <w:rPr>
                <w:rStyle w:val="Bodytext"/>
                <w:b/>
                <w:lang w:eastAsia="sr-Cyrl-CS"/>
              </w:rPr>
              <w:t>22.11</w:t>
            </w:r>
            <w:r w:rsidR="00943C51" w:rsidRPr="005824BD">
              <w:rPr>
                <w:rStyle w:val="Bodytext"/>
                <w:b/>
                <w:lang w:eastAsia="sr-Cyrl-CS"/>
              </w:rPr>
              <w:t>.2018</w:t>
            </w:r>
            <w:r w:rsidR="005D3155" w:rsidRPr="00E44422">
              <w:rPr>
                <w:rStyle w:val="Bodytext"/>
                <w:b/>
                <w:lang w:eastAsia="sr-Cyrl-CS"/>
              </w:rPr>
              <w:t>,</w:t>
            </w:r>
            <w:r w:rsidR="0047557E" w:rsidRPr="00E44422">
              <w:rPr>
                <w:rStyle w:val="Bodytext"/>
                <w:b/>
                <w:lang w:eastAsia="sr-Cyrl-CS"/>
              </w:rPr>
              <w:t xml:space="preserve"> </w:t>
            </w:r>
            <w:r w:rsidR="005D3155" w:rsidRPr="00E44422">
              <w:rPr>
                <w:rStyle w:val="Bodytext"/>
                <w:b/>
                <w:lang w:eastAsia="sr-Cyrl-CS"/>
              </w:rPr>
              <w:t xml:space="preserve">starting </w:t>
            </w:r>
            <w:r w:rsidR="0047557E" w:rsidRPr="00E44422">
              <w:rPr>
                <w:rStyle w:val="Bodytext"/>
                <w:b/>
                <w:lang w:eastAsia="sr-Cyrl-CS"/>
              </w:rPr>
              <w:t>at 12.30</w:t>
            </w:r>
            <w:r w:rsidR="00E44422">
              <w:rPr>
                <w:rStyle w:val="Bodytext"/>
                <w:lang w:eastAsia="sr-Cyrl-CS"/>
              </w:rPr>
              <w:t>,</w:t>
            </w:r>
            <w:r w:rsidR="0047557E">
              <w:rPr>
                <w:rStyle w:val="Bodytext"/>
                <w:lang w:eastAsia="sr-Cyrl-CS"/>
              </w:rPr>
              <w:t xml:space="preserve"> at </w:t>
            </w:r>
            <w:r w:rsidR="00E44422">
              <w:rPr>
                <w:rStyle w:val="Bodytext"/>
                <w:lang w:eastAsia="sr-Cyrl-CS"/>
              </w:rPr>
              <w:t xml:space="preserve">the </w:t>
            </w:r>
            <w:r w:rsidR="0047557E">
              <w:rPr>
                <w:rStyle w:val="Bodytext"/>
                <w:lang w:eastAsia="sr-Cyrl-CS"/>
              </w:rPr>
              <w:t>address</w:t>
            </w:r>
            <w:r w:rsidR="00E44422">
              <w:rPr>
                <w:rStyle w:val="Bodytext"/>
                <w:lang w:eastAsia="sr-Cyrl-CS"/>
              </w:rPr>
              <w:t xml:space="preserve"> of the Ordering Party</w:t>
            </w:r>
            <w:r w:rsidR="0047557E">
              <w:rPr>
                <w:rStyle w:val="Bodytext"/>
                <w:lang w:eastAsia="sr-Cyrl-CS"/>
              </w:rPr>
              <w:t xml:space="preserve">: Ministry of Construction, Transport and Infrastructure, Nemanjina 22-26 Belgrade, </w:t>
            </w:r>
            <w:r w:rsidR="0047557E" w:rsidRPr="0047557E">
              <w:rPr>
                <w:rStyle w:val="Bodytext"/>
                <w:b/>
                <w:lang w:eastAsia="sr-Cyrl-CS"/>
              </w:rPr>
              <w:t>II floor, Ceremonial Hall</w:t>
            </w:r>
            <w:r w:rsidR="0047557E">
              <w:rPr>
                <w:rStyle w:val="Bodytext"/>
                <w:b/>
                <w:lang w:eastAsia="sr-Cyrl-CS"/>
              </w:rPr>
              <w:t>.</w:t>
            </w:r>
            <w:r w:rsidR="0064332F" w:rsidRPr="00285344">
              <w:rPr>
                <w:b/>
                <w:lang w:eastAsia="sr-Cyrl-CS"/>
              </w:rPr>
              <w:t xml:space="preserve"> </w:t>
            </w:r>
          </w:p>
          <w:p w:rsidR="00943C51" w:rsidRPr="00943C51" w:rsidRDefault="00943C51" w:rsidP="005824BD">
            <w:pPr>
              <w:widowControl w:val="0"/>
              <w:ind w:left="20"/>
              <w:jc w:val="both"/>
              <w:rPr>
                <w:lang w:eastAsia="sr-Cyrl-CS"/>
              </w:rPr>
            </w:pPr>
            <w:r w:rsidRPr="00943C51">
              <w:rPr>
                <w:lang w:eastAsia="sr-Cyrl-CS"/>
              </w:rPr>
              <w:t xml:space="preserve">The </w:t>
            </w:r>
            <w:r>
              <w:rPr>
                <w:lang w:eastAsia="sr-Cyrl-CS"/>
              </w:rPr>
              <w:t>procedure of the tender</w:t>
            </w:r>
            <w:r w:rsidRPr="00943C51">
              <w:rPr>
                <w:lang w:eastAsia="sr-Cyrl-CS"/>
              </w:rPr>
              <w:t xml:space="preserve"> opening </w:t>
            </w:r>
            <w:r>
              <w:rPr>
                <w:lang w:eastAsia="sr-Cyrl-CS"/>
              </w:rPr>
              <w:t>is public and</w:t>
            </w:r>
            <w:r w:rsidRPr="00943C51">
              <w:rPr>
                <w:lang w:eastAsia="sr-Cyrl-CS"/>
              </w:rPr>
              <w:t xml:space="preserve"> may be attended by any interested person.</w:t>
            </w:r>
          </w:p>
        </w:tc>
      </w:tr>
      <w:tr w:rsidR="008732F0" w:rsidRPr="00285344" w:rsidTr="005824BD">
        <w:trPr>
          <w:trHeight w:val="1965"/>
        </w:trPr>
        <w:tc>
          <w:tcPr>
            <w:tcW w:w="3823" w:type="dxa"/>
          </w:tcPr>
          <w:p w:rsidR="0064332F" w:rsidRPr="00285344" w:rsidRDefault="005D3155" w:rsidP="00E44422">
            <w:pPr>
              <w:pStyle w:val="Default"/>
              <w:jc w:val="both"/>
              <w:rPr>
                <w:b/>
                <w:lang w:val="en-GB"/>
              </w:rPr>
            </w:pPr>
            <w:r>
              <w:rPr>
                <w:b/>
                <w:lang w:val="en-GB"/>
              </w:rPr>
              <w:t>Conditions under which the t</w:t>
            </w:r>
            <w:r w:rsidR="008732F0">
              <w:rPr>
                <w:b/>
                <w:lang w:val="en-GB"/>
              </w:rPr>
              <w:t>enderer’</w:t>
            </w:r>
            <w:r>
              <w:rPr>
                <w:b/>
                <w:lang w:val="en-GB"/>
              </w:rPr>
              <w:t>s r</w:t>
            </w:r>
            <w:r w:rsidR="008732F0">
              <w:rPr>
                <w:b/>
                <w:lang w:val="en-GB"/>
              </w:rPr>
              <w:t>epresen</w:t>
            </w:r>
            <w:r>
              <w:rPr>
                <w:b/>
                <w:lang w:val="en-GB"/>
              </w:rPr>
              <w:t xml:space="preserve">tatives </w:t>
            </w:r>
            <w:r w:rsidR="00E44422">
              <w:rPr>
                <w:b/>
                <w:lang w:val="en-GB"/>
              </w:rPr>
              <w:t>may</w:t>
            </w:r>
            <w:r>
              <w:rPr>
                <w:b/>
                <w:lang w:val="en-GB"/>
              </w:rPr>
              <w:t xml:space="preserve"> participate in the t</w:t>
            </w:r>
            <w:r w:rsidR="008732F0">
              <w:rPr>
                <w:b/>
                <w:lang w:val="en-GB"/>
              </w:rPr>
              <w:t>ender opening procedure</w:t>
            </w:r>
            <w:r w:rsidR="0064332F" w:rsidRPr="00285344">
              <w:rPr>
                <w:b/>
                <w:lang w:val="en-GB"/>
              </w:rPr>
              <w:t>:</w:t>
            </w:r>
          </w:p>
        </w:tc>
        <w:tc>
          <w:tcPr>
            <w:tcW w:w="5815" w:type="dxa"/>
          </w:tcPr>
          <w:p w:rsidR="0064332F" w:rsidRPr="00285344" w:rsidRDefault="00E44422" w:rsidP="005824BD">
            <w:pPr>
              <w:widowControl w:val="0"/>
              <w:ind w:left="20" w:right="20"/>
              <w:jc w:val="both"/>
              <w:rPr>
                <w:color w:val="000000"/>
                <w:lang w:eastAsia="sr-Cyrl-CS"/>
              </w:rPr>
            </w:pPr>
            <w:r>
              <w:rPr>
                <w:rStyle w:val="Bodytext"/>
                <w:color w:val="000000"/>
                <w:lang w:eastAsia="sr-Cyrl-CS"/>
              </w:rPr>
              <w:t>Only authorised Tenderers’ representatives may actively participate in the tender opening procedure.</w:t>
            </w:r>
          </w:p>
          <w:p w:rsidR="0064332F" w:rsidRPr="00285344" w:rsidRDefault="003A1E5A" w:rsidP="005824BD">
            <w:pPr>
              <w:widowControl w:val="0"/>
              <w:ind w:left="20" w:right="20"/>
              <w:jc w:val="both"/>
              <w:rPr>
                <w:i/>
                <w:color w:val="000000"/>
              </w:rPr>
            </w:pPr>
            <w:r>
              <w:rPr>
                <w:color w:val="000000"/>
                <w:lang w:eastAsia="sr-Cyrl-CS"/>
              </w:rPr>
              <w:t>The t</w:t>
            </w:r>
            <w:r w:rsidR="0085449C">
              <w:rPr>
                <w:color w:val="000000"/>
                <w:lang w:eastAsia="sr-Cyrl-CS"/>
              </w:rPr>
              <w:t>enderer’s representative</w:t>
            </w:r>
            <w:r>
              <w:rPr>
                <w:color w:val="000000"/>
                <w:lang w:eastAsia="sr-Cyrl-CS"/>
              </w:rPr>
              <w:t>s</w:t>
            </w:r>
            <w:r w:rsidR="0085449C">
              <w:rPr>
                <w:color w:val="000000"/>
                <w:lang w:eastAsia="sr-Cyrl-CS"/>
              </w:rPr>
              <w:t xml:space="preserve"> shall be obligated to submit duly </w:t>
            </w:r>
            <w:r w:rsidR="005D3155">
              <w:rPr>
                <w:color w:val="000000"/>
                <w:lang w:eastAsia="sr-Cyrl-CS"/>
              </w:rPr>
              <w:t>notarised P</w:t>
            </w:r>
            <w:r w:rsidR="005823A6">
              <w:rPr>
                <w:color w:val="000000"/>
                <w:lang w:eastAsia="sr-Cyrl-CS"/>
              </w:rPr>
              <w:t>ower of A</w:t>
            </w:r>
            <w:r w:rsidR="0085449C">
              <w:rPr>
                <w:color w:val="000000"/>
                <w:lang w:eastAsia="sr-Cyrl-CS"/>
              </w:rPr>
              <w:t xml:space="preserve">ttorney (signed and stamped) for participation in the tender opening. </w:t>
            </w:r>
          </w:p>
        </w:tc>
      </w:tr>
      <w:tr w:rsidR="008732F0" w:rsidRPr="00285344" w:rsidTr="005824BD">
        <w:trPr>
          <w:trHeight w:val="844"/>
        </w:trPr>
        <w:tc>
          <w:tcPr>
            <w:tcW w:w="3823" w:type="dxa"/>
          </w:tcPr>
          <w:p w:rsidR="0064332F" w:rsidRPr="00285344" w:rsidRDefault="00E44422" w:rsidP="00212F6F">
            <w:pPr>
              <w:pStyle w:val="Default"/>
              <w:rPr>
                <w:b/>
                <w:lang w:val="en-GB"/>
              </w:rPr>
            </w:pPr>
            <w:r>
              <w:rPr>
                <w:b/>
                <w:lang w:val="en-GB"/>
              </w:rPr>
              <w:t>Time limit</w:t>
            </w:r>
            <w:r w:rsidR="0085449C">
              <w:rPr>
                <w:b/>
                <w:lang w:val="en-GB"/>
              </w:rPr>
              <w:t xml:space="preserve"> for decision making</w:t>
            </w:r>
            <w:r w:rsidR="0064332F" w:rsidRPr="00285344">
              <w:rPr>
                <w:b/>
                <w:lang w:val="en-GB"/>
              </w:rPr>
              <w:t>:</w:t>
            </w:r>
          </w:p>
        </w:tc>
        <w:tc>
          <w:tcPr>
            <w:tcW w:w="5815" w:type="dxa"/>
          </w:tcPr>
          <w:p w:rsidR="0064332F" w:rsidRPr="00285344" w:rsidRDefault="0085449C" w:rsidP="005824BD">
            <w:pPr>
              <w:jc w:val="both"/>
              <w:rPr>
                <w:b/>
              </w:rPr>
            </w:pPr>
            <w:r>
              <w:t>The decision on Contract award shall be made within 25 (twenty-five) days from the date of the public tender opening</w:t>
            </w:r>
            <w:r w:rsidR="0064332F" w:rsidRPr="00285344">
              <w:t>.</w:t>
            </w:r>
            <w:r w:rsidR="0064332F" w:rsidRPr="00285344">
              <w:rPr>
                <w:b/>
              </w:rPr>
              <w:t xml:space="preserve"> </w:t>
            </w:r>
          </w:p>
        </w:tc>
      </w:tr>
      <w:tr w:rsidR="008732F0" w:rsidRPr="00285344" w:rsidTr="005824BD">
        <w:trPr>
          <w:trHeight w:val="273"/>
        </w:trPr>
        <w:tc>
          <w:tcPr>
            <w:tcW w:w="3823" w:type="dxa"/>
          </w:tcPr>
          <w:p w:rsidR="0064332F" w:rsidRPr="00285344" w:rsidRDefault="0085449C" w:rsidP="00212F6F">
            <w:pPr>
              <w:pStyle w:val="Default"/>
              <w:rPr>
                <w:b/>
                <w:lang w:val="en-GB"/>
              </w:rPr>
            </w:pPr>
            <w:r>
              <w:rPr>
                <w:b/>
                <w:lang w:val="en-GB"/>
              </w:rPr>
              <w:t>Contact Person</w:t>
            </w:r>
            <w:r w:rsidR="0064332F" w:rsidRPr="00285344">
              <w:rPr>
                <w:b/>
                <w:lang w:val="en-GB"/>
              </w:rPr>
              <w:t>:</w:t>
            </w:r>
          </w:p>
        </w:tc>
        <w:tc>
          <w:tcPr>
            <w:tcW w:w="5815" w:type="dxa"/>
          </w:tcPr>
          <w:p w:rsidR="0064332F" w:rsidRPr="00285344" w:rsidRDefault="0085449C" w:rsidP="00212F6F">
            <w:pPr>
              <w:pStyle w:val="Default"/>
              <w:rPr>
                <w:lang w:val="en-GB"/>
              </w:rPr>
            </w:pPr>
            <w:r>
              <w:rPr>
                <w:b/>
                <w:lang w:val="en-GB"/>
              </w:rPr>
              <w:t>Ms. Snezana Sokcanic</w:t>
            </w:r>
            <w:r w:rsidR="0064332F" w:rsidRPr="00285344">
              <w:rPr>
                <w:b/>
                <w:lang w:val="en-GB"/>
              </w:rPr>
              <w:t xml:space="preserve"> </w:t>
            </w:r>
          </w:p>
          <w:p w:rsidR="00EA71DD" w:rsidRPr="00943C51" w:rsidRDefault="0085449C" w:rsidP="00943C51">
            <w:pPr>
              <w:pStyle w:val="Default"/>
              <w:rPr>
                <w:color w:val="0000FF"/>
                <w:u w:val="single"/>
                <w:lang w:val="en-GB"/>
              </w:rPr>
            </w:pPr>
            <w:r>
              <w:rPr>
                <w:lang w:val="en-GB"/>
              </w:rPr>
              <w:t>E-mail</w:t>
            </w:r>
            <w:r w:rsidR="0064332F" w:rsidRPr="00285344">
              <w:rPr>
                <w:lang w:val="en-GB"/>
              </w:rPr>
              <w:t xml:space="preserve">: </w:t>
            </w:r>
            <w:hyperlink r:id="rId7" w:history="1">
              <w:r w:rsidR="00EA71DD" w:rsidRPr="00E103D5">
                <w:rPr>
                  <w:rStyle w:val="Hyperlink"/>
                  <w:lang w:val="en-GB"/>
                </w:rPr>
                <w:t>snеzana.sokcanic@mgsi.gov.rs</w:t>
              </w:r>
            </w:hyperlink>
          </w:p>
        </w:tc>
      </w:tr>
    </w:tbl>
    <w:p w:rsidR="0064332F" w:rsidRDefault="0064332F" w:rsidP="0064332F"/>
    <w:sectPr w:rsidR="0064332F" w:rsidSect="0024387D">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2F"/>
    <w:rsid w:val="00002737"/>
    <w:rsid w:val="00023EB9"/>
    <w:rsid w:val="000923C3"/>
    <w:rsid w:val="001750D6"/>
    <w:rsid w:val="001A1F2C"/>
    <w:rsid w:val="001B2CA5"/>
    <w:rsid w:val="001D171A"/>
    <w:rsid w:val="001F274E"/>
    <w:rsid w:val="002459BF"/>
    <w:rsid w:val="00285344"/>
    <w:rsid w:val="00377246"/>
    <w:rsid w:val="003A1E5A"/>
    <w:rsid w:val="003D356C"/>
    <w:rsid w:val="0047557E"/>
    <w:rsid w:val="00484238"/>
    <w:rsid w:val="004C5479"/>
    <w:rsid w:val="005036BC"/>
    <w:rsid w:val="00512F07"/>
    <w:rsid w:val="005823A6"/>
    <w:rsid w:val="005824BD"/>
    <w:rsid w:val="005D3155"/>
    <w:rsid w:val="0064332F"/>
    <w:rsid w:val="00646BF2"/>
    <w:rsid w:val="0074362C"/>
    <w:rsid w:val="007619A5"/>
    <w:rsid w:val="007D19E7"/>
    <w:rsid w:val="007D2E4A"/>
    <w:rsid w:val="007F4F41"/>
    <w:rsid w:val="00832808"/>
    <w:rsid w:val="0085449C"/>
    <w:rsid w:val="008732F0"/>
    <w:rsid w:val="00943C51"/>
    <w:rsid w:val="00B30F9B"/>
    <w:rsid w:val="00BE2F3B"/>
    <w:rsid w:val="00C67CFF"/>
    <w:rsid w:val="00C95FA6"/>
    <w:rsid w:val="00DA311A"/>
    <w:rsid w:val="00E0282A"/>
    <w:rsid w:val="00E22854"/>
    <w:rsid w:val="00E44422"/>
    <w:rsid w:val="00EA71DD"/>
    <w:rsid w:val="00FD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730D"/>
  <w15:chartTrackingRefBased/>
  <w15:docId w15:val="{96FC80D9-4B7C-46CA-B11B-62B98067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2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33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64332F"/>
    <w:rPr>
      <w:color w:val="0000FF"/>
      <w:u w:val="single"/>
    </w:rPr>
  </w:style>
  <w:style w:type="character" w:customStyle="1" w:styleId="Bodytext">
    <w:name w:val="Body text_"/>
    <w:link w:val="Bodytext1"/>
    <w:uiPriority w:val="99"/>
    <w:locked/>
    <w:rsid w:val="0064332F"/>
    <w:rPr>
      <w:shd w:val="clear" w:color="auto" w:fill="FFFFFF"/>
    </w:rPr>
  </w:style>
  <w:style w:type="paragraph" w:customStyle="1" w:styleId="Bodytext1">
    <w:name w:val="Body text1"/>
    <w:basedOn w:val="Normal"/>
    <w:link w:val="Bodytext"/>
    <w:uiPriority w:val="99"/>
    <w:rsid w:val="0064332F"/>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uiPriority w:val="1"/>
    <w:qFormat/>
    <w:rsid w:val="0064332F"/>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1A1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F2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n&#1077;zana.sokcanic@mgsi.gov.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Irena Delić</cp:lastModifiedBy>
  <cp:revision>2</cp:revision>
  <cp:lastPrinted>2018-07-19T09:14:00Z</cp:lastPrinted>
  <dcterms:created xsi:type="dcterms:W3CDTF">2018-10-18T11:03:00Z</dcterms:created>
  <dcterms:modified xsi:type="dcterms:W3CDTF">2018-10-18T11:03:00Z</dcterms:modified>
</cp:coreProperties>
</file>